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7549" w14:textId="77777777" w:rsidR="00B76A8A" w:rsidRPr="00F111A0" w:rsidRDefault="0001108D" w:rsidP="00B76A8A">
      <w:pPr>
        <w:spacing w:before="160" w:line="240" w:lineRule="auto"/>
        <w:jc w:val="center"/>
        <w:rPr>
          <w:rFonts w:asciiTheme="majorHAnsi" w:hAnsiTheme="majorHAnsi" w:cs="Times New Roman"/>
          <w:i/>
          <w:sz w:val="28"/>
          <w:szCs w:val="24"/>
        </w:rPr>
      </w:pPr>
      <w:bookmarkStart w:id="0" w:name="_Hlk2586686"/>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sidRPr="00AF5AB0">
        <w:rPr>
          <w:rFonts w:asciiTheme="majorHAnsi" w:hAnsiTheme="majorHAnsi" w:cs="Times New Roman"/>
          <w:i/>
          <w:sz w:val="28"/>
          <w:szCs w:val="24"/>
        </w:rPr>
        <w:t>Stocks posted solid gains due to improving economic conditions and widening vaccination programs. However, tech and high-growth stocks played a limited role in the rally</w:t>
      </w:r>
      <w:r w:rsidRPr="00B60BB5">
        <w:rPr>
          <w:rFonts w:asciiTheme="majorHAnsi" w:hAnsiTheme="majorHAnsi" w:cs="Times New Roman"/>
          <w:i/>
          <w:sz w:val="28"/>
          <w:szCs w:val="24"/>
        </w:rPr>
        <w:t>.</w:t>
      </w:r>
    </w:p>
    <w:p w14:paraId="11823362" w14:textId="77777777" w:rsidR="00F82321" w:rsidRPr="00A56786" w:rsidRDefault="0001108D"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14:paraId="4AFA037A" w14:textId="77777777" w:rsidR="00B2579B" w:rsidRDefault="0001108D"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14:anchorId="07491E43" wp14:editId="1B1A99DA">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74644718" w14:textId="77777777" w:rsidR="00A56786" w:rsidRPr="00DD38C0" w:rsidRDefault="0001108D" w:rsidP="00EE6BF2">
      <w:pPr>
        <w:spacing w:before="160" w:line="276" w:lineRule="auto"/>
        <w:jc w:val="center"/>
        <w:rPr>
          <w:rFonts w:asciiTheme="majorHAnsi" w:hAnsiTheme="majorHAnsi" w:cs="Times New Roman"/>
          <w:color w:val="808080" w:themeColor="background1" w:themeShade="80"/>
          <w:sz w:val="2"/>
          <w:szCs w:val="24"/>
        </w:rPr>
      </w:pPr>
    </w:p>
    <w:p w14:paraId="46085383" w14:textId="0CE6F358" w:rsidR="00F82321" w:rsidRPr="001D1391" w:rsidRDefault="0001108D" w:rsidP="00EE6BF2">
      <w:pPr>
        <w:spacing w:before="160" w:line="276" w:lineRule="auto"/>
        <w:jc w:val="center"/>
        <w:rPr>
          <w:rFonts w:asciiTheme="majorHAnsi" w:hAnsiTheme="majorHAnsi" w:cs="Times New Roman"/>
          <w:i/>
          <w:color w:val="646464"/>
          <w:sz w:val="24"/>
          <w:szCs w:val="24"/>
          <w:vertAlign w:val="subscript"/>
        </w:rPr>
      </w:pPr>
      <w:r w:rsidRPr="00DD38C0">
        <w:rPr>
          <w:rFonts w:asciiTheme="majorHAnsi" w:hAnsiTheme="majorHAnsi" w:cs="Times New Roman"/>
          <w:i/>
          <w:color w:val="646464"/>
          <w:sz w:val="24"/>
          <w:szCs w:val="24"/>
        </w:rPr>
        <w:t xml:space="preserve">Presented by </w:t>
      </w:r>
      <w:r w:rsidR="001468D1">
        <w:rPr>
          <w:rFonts w:asciiTheme="majorHAnsi" w:hAnsiTheme="majorHAnsi" w:cs="Times New Roman"/>
          <w:i/>
          <w:color w:val="646464"/>
          <w:sz w:val="24"/>
          <w:szCs w:val="24"/>
        </w:rPr>
        <w:t>Jason Kleemeier</w:t>
      </w:r>
      <w:r w:rsidRPr="00DD38C0">
        <w:rPr>
          <w:rFonts w:asciiTheme="majorHAnsi" w:hAnsiTheme="majorHAnsi" w:cs="Times New Roman"/>
          <w:i/>
          <w:color w:val="646464"/>
          <w:sz w:val="24"/>
          <w:szCs w:val="24"/>
        </w:rPr>
        <w:t xml:space="preserve">, </w:t>
      </w:r>
      <w:r w:rsidRPr="00B60BB5">
        <w:rPr>
          <w:rFonts w:asciiTheme="majorHAnsi" w:hAnsiTheme="majorHAnsi" w:cs="Times New Roman"/>
          <w:i/>
          <w:color w:val="646464"/>
          <w:sz w:val="24"/>
          <w:szCs w:val="24"/>
        </w:rPr>
        <w:t>April 202</w:t>
      </w:r>
      <w:r>
        <w:rPr>
          <w:rFonts w:asciiTheme="majorHAnsi" w:hAnsiTheme="majorHAnsi" w:cs="Times New Roman"/>
          <w:i/>
          <w:color w:val="646464"/>
          <w:sz w:val="24"/>
          <w:szCs w:val="24"/>
        </w:rPr>
        <w:t>1</w:t>
      </w:r>
    </w:p>
    <w:p w14:paraId="4878A2BA" w14:textId="77777777" w:rsidR="002544C5" w:rsidRPr="00DD38C0" w:rsidRDefault="0001108D" w:rsidP="00EE6BF2">
      <w:pPr>
        <w:spacing w:before="160" w:line="276" w:lineRule="auto"/>
        <w:jc w:val="center"/>
        <w:rPr>
          <w:rFonts w:asciiTheme="majorHAnsi" w:hAnsiTheme="majorHAnsi" w:cs="Times New Roman"/>
          <w:color w:val="000000" w:themeColor="text1"/>
          <w:sz w:val="4"/>
          <w:szCs w:val="24"/>
        </w:rPr>
      </w:pPr>
    </w:p>
    <w:p w14:paraId="5707A71D" w14:textId="77777777" w:rsidR="00775662" w:rsidRDefault="0001108D" w:rsidP="00EE6BF2">
      <w:pPr>
        <w:spacing w:line="276" w:lineRule="auto"/>
        <w:rPr>
          <w:rFonts w:asciiTheme="majorHAnsi" w:hAnsiTheme="majorHAnsi"/>
          <w:b/>
          <w:color w:val="3E7BB6"/>
          <w:sz w:val="28"/>
          <w:szCs w:val="24"/>
        </w:rPr>
      </w:pPr>
      <w:r w:rsidRPr="00AF2FAA">
        <w:rPr>
          <w:rFonts w:asciiTheme="majorHAnsi" w:hAnsiTheme="majorHAnsi"/>
          <w:b/>
          <w:color w:val="3E7BB6"/>
          <w:sz w:val="28"/>
          <w:szCs w:val="24"/>
        </w:rPr>
        <w:t>U.S. Markets</w:t>
      </w:r>
    </w:p>
    <w:p w14:paraId="5BA2F2CD" w14:textId="77777777" w:rsidR="00772BA0" w:rsidRPr="00772BA0" w:rsidRDefault="0001108D" w:rsidP="00772BA0">
      <w:pPr>
        <w:spacing w:line="276" w:lineRule="auto"/>
        <w:jc w:val="both"/>
        <w:rPr>
          <w:rFonts w:asciiTheme="majorHAnsi" w:hAnsiTheme="majorHAnsi" w:cstheme="majorHAnsi"/>
          <w:sz w:val="24"/>
          <w:szCs w:val="24"/>
        </w:rPr>
      </w:pPr>
      <w:r w:rsidRPr="00772BA0">
        <w:rPr>
          <w:rFonts w:asciiTheme="majorHAnsi" w:hAnsiTheme="majorHAnsi" w:cstheme="majorHAnsi"/>
          <w:sz w:val="24"/>
          <w:szCs w:val="24"/>
        </w:rPr>
        <w:t xml:space="preserve">Improved economic conditions and broadened vaccine programs ignited a broad stock market rally, though rising treasury yields dragged on technology and high-growth stocks. </w:t>
      </w:r>
    </w:p>
    <w:p w14:paraId="15499890" w14:textId="77777777" w:rsidR="00775662" w:rsidRPr="00E40DA8" w:rsidRDefault="0001108D" w:rsidP="00E40DA8">
      <w:pPr>
        <w:spacing w:line="276" w:lineRule="auto"/>
        <w:jc w:val="both"/>
        <w:rPr>
          <w:rFonts w:asciiTheme="majorHAnsi" w:hAnsiTheme="majorHAnsi" w:cstheme="majorHAnsi"/>
          <w:sz w:val="24"/>
          <w:szCs w:val="24"/>
        </w:rPr>
      </w:pPr>
      <w:r w:rsidRPr="00772BA0">
        <w:rPr>
          <w:rFonts w:asciiTheme="majorHAnsi" w:hAnsiTheme="majorHAnsi" w:cstheme="majorHAnsi"/>
          <w:sz w:val="24"/>
          <w:szCs w:val="24"/>
        </w:rPr>
        <w:t>The Dow Jones Industrial Average led, picking up 6.62 percent. The Standard &amp; Poor’</w:t>
      </w:r>
      <w:r w:rsidRPr="00772BA0">
        <w:rPr>
          <w:rFonts w:asciiTheme="majorHAnsi" w:hAnsiTheme="majorHAnsi" w:cstheme="majorHAnsi"/>
          <w:sz w:val="24"/>
          <w:szCs w:val="24"/>
        </w:rPr>
        <w:t>s 500 Index rose 4.24 percent while the tech-heavy N</w:t>
      </w:r>
      <w:r>
        <w:rPr>
          <w:rFonts w:asciiTheme="majorHAnsi" w:hAnsiTheme="majorHAnsi" w:cstheme="majorHAnsi"/>
          <w:sz w:val="24"/>
          <w:szCs w:val="24"/>
        </w:rPr>
        <w:t>asdaq</w:t>
      </w:r>
      <w:r w:rsidRPr="00772BA0">
        <w:rPr>
          <w:rFonts w:asciiTheme="majorHAnsi" w:hAnsiTheme="majorHAnsi" w:cstheme="majorHAnsi"/>
          <w:sz w:val="24"/>
          <w:szCs w:val="24"/>
        </w:rPr>
        <w:t xml:space="preserve"> Composite added 0.41 percent</w:t>
      </w:r>
      <w:r w:rsidRPr="00AF2FAA">
        <w:rPr>
          <w:rFonts w:asciiTheme="majorHAnsi" w:hAnsiTheme="majorHAnsi" w:cstheme="majorHAnsi"/>
          <w:sz w:val="24"/>
          <w:szCs w:val="24"/>
        </w:rPr>
        <w:t>.</w:t>
      </w:r>
      <w:r w:rsidRPr="00AF2FAA">
        <w:rPr>
          <w:rFonts w:asciiTheme="majorHAnsi" w:hAnsiTheme="majorHAnsi" w:cstheme="majorHAnsi"/>
          <w:sz w:val="24"/>
          <w:szCs w:val="24"/>
          <w:vertAlign w:val="superscript"/>
        </w:rPr>
        <w:t>1</w:t>
      </w:r>
    </w:p>
    <w:p w14:paraId="436E89FB" w14:textId="77777777" w:rsidR="00775662" w:rsidRDefault="0001108D" w:rsidP="00EE6BF2">
      <w:pPr>
        <w:spacing w:line="276" w:lineRule="auto"/>
        <w:rPr>
          <w:rFonts w:asciiTheme="majorHAnsi" w:hAnsiTheme="majorHAnsi"/>
          <w:b/>
          <w:color w:val="3E7BB6"/>
          <w:sz w:val="28"/>
          <w:szCs w:val="24"/>
        </w:rPr>
      </w:pPr>
      <w:r w:rsidRPr="00772BA0">
        <w:rPr>
          <w:rFonts w:asciiTheme="majorHAnsi" w:hAnsiTheme="majorHAnsi"/>
          <w:b/>
          <w:color w:val="3E7BB6"/>
          <w:sz w:val="28"/>
          <w:szCs w:val="24"/>
        </w:rPr>
        <w:t>Bonds Take Center Stage</w:t>
      </w:r>
      <w:r w:rsidRPr="00775662">
        <w:rPr>
          <w:rFonts w:asciiTheme="majorHAnsi" w:hAnsiTheme="majorHAnsi"/>
          <w:b/>
          <w:color w:val="3E7BB6"/>
          <w:sz w:val="28"/>
          <w:szCs w:val="24"/>
        </w:rPr>
        <w:t xml:space="preserve"> </w:t>
      </w:r>
    </w:p>
    <w:p w14:paraId="02B02878" w14:textId="77777777" w:rsidR="00772BA0" w:rsidRPr="00772BA0" w:rsidRDefault="0001108D" w:rsidP="00772BA0">
      <w:pPr>
        <w:spacing w:line="276" w:lineRule="auto"/>
        <w:jc w:val="both"/>
        <w:rPr>
          <w:rStyle w:val="st"/>
          <w:rFonts w:asciiTheme="majorHAnsi" w:hAnsiTheme="majorHAnsi" w:cstheme="majorHAnsi"/>
          <w:sz w:val="24"/>
          <w:szCs w:val="24"/>
        </w:rPr>
      </w:pPr>
      <w:r w:rsidRPr="00772BA0">
        <w:rPr>
          <w:rStyle w:val="st"/>
          <w:rFonts w:asciiTheme="majorHAnsi" w:hAnsiTheme="majorHAnsi" w:cstheme="majorHAnsi"/>
          <w:sz w:val="24"/>
          <w:szCs w:val="24"/>
        </w:rPr>
        <w:t>The month began strong, thanks to a retreat in Treasury bond yields, solid economic reports, and the approval of another vaccine.</w:t>
      </w:r>
    </w:p>
    <w:p w14:paraId="3B0D459B" w14:textId="77777777" w:rsidR="003F06AB" w:rsidRPr="00E40DA8" w:rsidRDefault="0001108D" w:rsidP="003F06AB">
      <w:pPr>
        <w:spacing w:line="276" w:lineRule="auto"/>
        <w:jc w:val="both"/>
        <w:rPr>
          <w:rFonts w:asciiTheme="majorHAnsi" w:hAnsiTheme="majorHAnsi"/>
          <w:sz w:val="24"/>
          <w:szCs w:val="24"/>
        </w:rPr>
      </w:pPr>
      <w:r w:rsidRPr="00772BA0">
        <w:rPr>
          <w:rStyle w:val="st"/>
          <w:rFonts w:asciiTheme="majorHAnsi" w:hAnsiTheme="majorHAnsi" w:cstheme="majorHAnsi"/>
          <w:sz w:val="24"/>
          <w:szCs w:val="24"/>
        </w:rPr>
        <w:t>However, enthusiasm faded when yields climbed higher following Federal Reserve Chair Jerome Powell’s belief that inflationary pressures will be felt in the future. When yields leveled off, stocks resumed their advance, aided by the signing of the $1.9 tril</w:t>
      </w:r>
      <w:r w:rsidRPr="00772BA0">
        <w:rPr>
          <w:rStyle w:val="st"/>
          <w:rFonts w:asciiTheme="majorHAnsi" w:hAnsiTheme="majorHAnsi" w:cstheme="majorHAnsi"/>
          <w:sz w:val="24"/>
          <w:szCs w:val="24"/>
        </w:rPr>
        <w:t>lion stimulus bill into law and another round of upbeat economic reports.</w:t>
      </w:r>
      <w:r w:rsidRPr="00772BA0">
        <w:rPr>
          <w:rStyle w:val="st"/>
          <w:rFonts w:asciiTheme="majorHAnsi" w:hAnsiTheme="majorHAnsi" w:cstheme="majorHAnsi"/>
          <w:sz w:val="24"/>
          <w:szCs w:val="24"/>
          <w:vertAlign w:val="superscript"/>
        </w:rPr>
        <w:t>2</w:t>
      </w:r>
    </w:p>
    <w:p w14:paraId="07342621" w14:textId="77777777" w:rsidR="00AF2FAA" w:rsidRDefault="0001108D" w:rsidP="00A4481D">
      <w:pPr>
        <w:spacing w:line="276" w:lineRule="auto"/>
        <w:jc w:val="both"/>
        <w:rPr>
          <w:rFonts w:asciiTheme="majorHAnsi" w:hAnsiTheme="majorHAnsi"/>
          <w:b/>
          <w:color w:val="3E7BB6"/>
          <w:sz w:val="28"/>
          <w:szCs w:val="24"/>
        </w:rPr>
      </w:pPr>
      <w:r w:rsidRPr="00772BA0">
        <w:rPr>
          <w:rFonts w:asciiTheme="majorHAnsi" w:hAnsiTheme="majorHAnsi"/>
          <w:b/>
          <w:color w:val="3E7BB6"/>
          <w:sz w:val="28"/>
          <w:szCs w:val="24"/>
        </w:rPr>
        <w:t>Rotation to Cyclicals</w:t>
      </w:r>
      <w:r w:rsidRPr="00AF2FAA">
        <w:rPr>
          <w:rFonts w:asciiTheme="majorHAnsi" w:hAnsiTheme="majorHAnsi"/>
          <w:b/>
          <w:color w:val="3E7BB6"/>
          <w:sz w:val="28"/>
          <w:szCs w:val="24"/>
        </w:rPr>
        <w:t xml:space="preserve"> </w:t>
      </w:r>
    </w:p>
    <w:p w14:paraId="76A769CC" w14:textId="77777777" w:rsidR="00775662" w:rsidRPr="00DD38C0" w:rsidRDefault="0001108D" w:rsidP="00EE6BF2">
      <w:pPr>
        <w:spacing w:line="276" w:lineRule="auto"/>
        <w:jc w:val="both"/>
        <w:rPr>
          <w:rFonts w:asciiTheme="majorHAnsi" w:hAnsiTheme="majorHAnsi"/>
          <w:sz w:val="6"/>
          <w:szCs w:val="24"/>
        </w:rPr>
      </w:pPr>
      <w:r w:rsidRPr="00772BA0">
        <w:rPr>
          <w:rFonts w:asciiTheme="majorHAnsi" w:hAnsiTheme="majorHAnsi"/>
          <w:sz w:val="24"/>
          <w:szCs w:val="24"/>
        </w:rPr>
        <w:t xml:space="preserve">Technology stocks and high-growth stocks played a limited role in the March rally as investors rotated their portfolios into other sectors, including </w:t>
      </w:r>
      <w:r w:rsidRPr="00772BA0">
        <w:rPr>
          <w:rFonts w:asciiTheme="majorHAnsi" w:hAnsiTheme="majorHAnsi"/>
          <w:sz w:val="24"/>
          <w:szCs w:val="24"/>
        </w:rPr>
        <w:t>cyclical names. The Nasdaq Composite early in the month flirted with a correction, defined as a 10 percent or greater pullback from a recent high</w:t>
      </w:r>
      <w:r w:rsidRPr="00521D57">
        <w:rPr>
          <w:rFonts w:asciiTheme="majorHAnsi" w:hAnsiTheme="majorHAnsi"/>
          <w:sz w:val="24"/>
          <w:szCs w:val="24"/>
        </w:rPr>
        <w:t>.</w:t>
      </w:r>
    </w:p>
    <w:p w14:paraId="0F929E97" w14:textId="77777777" w:rsidR="00B87E49" w:rsidRDefault="0001108D" w:rsidP="00946B0D">
      <w:pPr>
        <w:pStyle w:val="PlainText"/>
        <w:spacing w:after="160" w:line="276" w:lineRule="auto"/>
        <w:jc w:val="both"/>
        <w:rPr>
          <w:rFonts w:asciiTheme="majorHAnsi" w:hAnsiTheme="majorHAnsi"/>
          <w:b/>
          <w:color w:val="3E7BB6"/>
          <w:sz w:val="28"/>
          <w:szCs w:val="24"/>
        </w:rPr>
      </w:pPr>
      <w:r w:rsidRPr="00772BA0">
        <w:rPr>
          <w:rFonts w:asciiTheme="majorHAnsi" w:hAnsiTheme="majorHAnsi"/>
          <w:b/>
          <w:color w:val="3E7BB6"/>
          <w:sz w:val="28"/>
          <w:szCs w:val="24"/>
        </w:rPr>
        <w:t>Fed’s Guidance</w:t>
      </w:r>
    </w:p>
    <w:p w14:paraId="06DAB47E" w14:textId="77777777" w:rsidR="00772BA0" w:rsidRPr="00772BA0" w:rsidRDefault="0001108D" w:rsidP="00772BA0">
      <w:pPr>
        <w:pStyle w:val="PlainText"/>
        <w:spacing w:line="276" w:lineRule="auto"/>
        <w:jc w:val="both"/>
        <w:rPr>
          <w:rFonts w:asciiTheme="majorHAnsi" w:hAnsiTheme="majorHAnsi" w:cstheme="majorHAnsi"/>
          <w:sz w:val="24"/>
          <w:szCs w:val="24"/>
        </w:rPr>
      </w:pPr>
      <w:r w:rsidRPr="00772BA0">
        <w:rPr>
          <w:rFonts w:asciiTheme="majorHAnsi" w:hAnsiTheme="majorHAnsi" w:cstheme="majorHAnsi"/>
          <w:sz w:val="24"/>
          <w:szCs w:val="24"/>
        </w:rPr>
        <w:t>Traders eagerly awaited the two-day Federal Open Market Committee meeting, which ended on March 17. The Fed affirmed its monetary policy, which helped push the Dow Industrials and S&amp;P 500 to record closing highs. Nevertheless, characteristic of the month’s</w:t>
      </w:r>
      <w:r w:rsidRPr="00772BA0">
        <w:rPr>
          <w:rFonts w:asciiTheme="majorHAnsi" w:hAnsiTheme="majorHAnsi" w:cstheme="majorHAnsi"/>
          <w:sz w:val="24"/>
          <w:szCs w:val="24"/>
        </w:rPr>
        <w:t xml:space="preserve"> trading, markets </w:t>
      </w:r>
      <w:r w:rsidRPr="00772BA0">
        <w:rPr>
          <w:rFonts w:asciiTheme="majorHAnsi" w:hAnsiTheme="majorHAnsi" w:cstheme="majorHAnsi"/>
          <w:sz w:val="24"/>
          <w:szCs w:val="24"/>
        </w:rPr>
        <w:lastRenderedPageBreak/>
        <w:t>reversed themselves the next day as a pickup in Treasury yields sent technology and other high-growth stocks lower once again.</w:t>
      </w:r>
      <w:r w:rsidRPr="00772BA0">
        <w:rPr>
          <w:rFonts w:asciiTheme="majorHAnsi" w:hAnsiTheme="majorHAnsi" w:cstheme="majorHAnsi"/>
          <w:sz w:val="24"/>
          <w:szCs w:val="24"/>
          <w:vertAlign w:val="superscript"/>
        </w:rPr>
        <w:t xml:space="preserve"> </w:t>
      </w:r>
      <w:r>
        <w:rPr>
          <w:rFonts w:asciiTheme="majorHAnsi" w:hAnsiTheme="majorHAnsi" w:cstheme="majorHAnsi"/>
          <w:sz w:val="24"/>
          <w:szCs w:val="24"/>
          <w:vertAlign w:val="superscript"/>
        </w:rPr>
        <w:t>3</w:t>
      </w:r>
    </w:p>
    <w:p w14:paraId="0F4AEAA4" w14:textId="77777777" w:rsidR="00772BA0" w:rsidRPr="00772BA0" w:rsidRDefault="0001108D" w:rsidP="00772BA0">
      <w:pPr>
        <w:pStyle w:val="PlainText"/>
        <w:spacing w:line="276" w:lineRule="auto"/>
        <w:jc w:val="both"/>
        <w:rPr>
          <w:rFonts w:asciiTheme="majorHAnsi" w:hAnsiTheme="majorHAnsi" w:cstheme="majorHAnsi"/>
          <w:sz w:val="24"/>
          <w:szCs w:val="24"/>
        </w:rPr>
      </w:pPr>
    </w:p>
    <w:p w14:paraId="48185724" w14:textId="77777777" w:rsidR="00E40DA8" w:rsidRDefault="0001108D" w:rsidP="00E40DA8">
      <w:pPr>
        <w:pStyle w:val="PlainText"/>
        <w:spacing w:line="276" w:lineRule="auto"/>
        <w:jc w:val="both"/>
        <w:rPr>
          <w:rFonts w:asciiTheme="majorHAnsi" w:hAnsiTheme="majorHAnsi" w:cstheme="majorHAnsi"/>
          <w:sz w:val="24"/>
          <w:szCs w:val="24"/>
        </w:rPr>
      </w:pPr>
      <w:r w:rsidRPr="00772BA0">
        <w:rPr>
          <w:rFonts w:asciiTheme="majorHAnsi" w:hAnsiTheme="majorHAnsi" w:cstheme="majorHAnsi"/>
          <w:sz w:val="24"/>
          <w:szCs w:val="24"/>
        </w:rPr>
        <w:t>Despite the choppiness of the closing days of trading, stocks ended on a strong note to cap an otherwise goo</w:t>
      </w:r>
      <w:r w:rsidRPr="00772BA0">
        <w:rPr>
          <w:rFonts w:asciiTheme="majorHAnsi" w:hAnsiTheme="majorHAnsi" w:cstheme="majorHAnsi"/>
          <w:sz w:val="24"/>
          <w:szCs w:val="24"/>
        </w:rPr>
        <w:t>d month for investors</w:t>
      </w:r>
      <w:r w:rsidRPr="00AF2FAA">
        <w:rPr>
          <w:rFonts w:asciiTheme="majorHAnsi" w:hAnsiTheme="majorHAnsi" w:cstheme="majorHAnsi"/>
          <w:sz w:val="24"/>
          <w:szCs w:val="24"/>
        </w:rPr>
        <w:t>.</w:t>
      </w:r>
    </w:p>
    <w:p w14:paraId="68D3D771" w14:textId="77777777" w:rsidR="00E40DA8" w:rsidRPr="00E40DA8" w:rsidRDefault="0001108D" w:rsidP="00E40DA8">
      <w:pPr>
        <w:pStyle w:val="PlainText"/>
        <w:spacing w:line="276" w:lineRule="auto"/>
        <w:jc w:val="both"/>
        <w:rPr>
          <w:rFonts w:asciiTheme="majorHAnsi" w:hAnsiTheme="majorHAnsi" w:cstheme="majorHAnsi"/>
          <w:sz w:val="16"/>
          <w:szCs w:val="16"/>
        </w:rPr>
      </w:pPr>
    </w:p>
    <w:p w14:paraId="21FD0250" w14:textId="77777777" w:rsidR="00DD38C0" w:rsidRPr="00E40DA8" w:rsidRDefault="0001108D" w:rsidP="00E40DA8">
      <w:pPr>
        <w:pStyle w:val="PlainText"/>
        <w:spacing w:line="276" w:lineRule="auto"/>
        <w:jc w:val="both"/>
        <w:rPr>
          <w:rFonts w:asciiTheme="majorHAnsi" w:hAnsiTheme="majorHAnsi" w:cstheme="majorHAnsi"/>
          <w:sz w:val="24"/>
          <w:szCs w:val="24"/>
        </w:rPr>
      </w:pPr>
      <w:r w:rsidRPr="00772BA0">
        <w:rPr>
          <w:rFonts w:asciiTheme="majorHAnsi" w:hAnsiTheme="majorHAnsi"/>
          <w:b/>
          <w:color w:val="3E7BB6"/>
          <w:sz w:val="28"/>
          <w:szCs w:val="24"/>
        </w:rPr>
        <w:t>Sector Scorecard</w:t>
      </w:r>
    </w:p>
    <w:p w14:paraId="024E7EFF" w14:textId="77777777" w:rsidR="00E40DA8" w:rsidRPr="00E40DA8" w:rsidRDefault="0001108D" w:rsidP="00E40DA8">
      <w:pPr>
        <w:pStyle w:val="PlainText"/>
        <w:spacing w:line="276" w:lineRule="auto"/>
        <w:jc w:val="both"/>
        <w:rPr>
          <w:rFonts w:asciiTheme="majorHAnsi" w:hAnsiTheme="majorHAnsi" w:cstheme="majorHAnsi"/>
          <w:sz w:val="24"/>
          <w:szCs w:val="24"/>
          <w:vertAlign w:val="superscript"/>
        </w:rPr>
      </w:pPr>
      <w:r w:rsidRPr="00772BA0">
        <w:rPr>
          <w:rStyle w:val="st"/>
          <w:rFonts w:asciiTheme="majorHAnsi" w:hAnsiTheme="majorHAnsi"/>
          <w:sz w:val="24"/>
          <w:szCs w:val="24"/>
        </w:rPr>
        <w:t xml:space="preserve">Every industry sector ended higher in March, with gains in Communication Services (+2.04 percent), Consumer Discretionary (+3.49 percent), Consumer Staples (+8.26 percent), Energy (+2.60 percent), </w:t>
      </w:r>
      <w:r w:rsidRPr="00772BA0">
        <w:rPr>
          <w:rStyle w:val="st"/>
          <w:rFonts w:asciiTheme="majorHAnsi" w:hAnsiTheme="majorHAnsi"/>
          <w:sz w:val="24"/>
          <w:szCs w:val="24"/>
        </w:rPr>
        <w:t>Financials (+6.19 percent), Health Care (+3.46 percent), Industrials (+9.01 percent), Materials (+7.67 percent), Real Estate (+6.19 percent), Technology (+0.03 percent), and Utilities (+8.93 percent).</w:t>
      </w:r>
      <w:r w:rsidRPr="00772BA0">
        <w:rPr>
          <w:rStyle w:val="st"/>
          <w:rFonts w:asciiTheme="majorHAnsi" w:hAnsiTheme="majorHAnsi"/>
          <w:sz w:val="24"/>
          <w:szCs w:val="24"/>
          <w:vertAlign w:val="superscript"/>
        </w:rPr>
        <w:t>4</w:t>
      </w:r>
    </w:p>
    <w:p w14:paraId="186ABE80" w14:textId="77777777" w:rsidR="00E40DA8" w:rsidRPr="00E40DA8" w:rsidRDefault="0001108D" w:rsidP="002405DE">
      <w:pPr>
        <w:spacing w:line="276" w:lineRule="auto"/>
        <w:jc w:val="both"/>
        <w:rPr>
          <w:rFonts w:asciiTheme="majorHAnsi" w:hAnsiTheme="majorHAnsi"/>
          <w:b/>
          <w:color w:val="3E7BB6"/>
          <w:sz w:val="13"/>
          <w:szCs w:val="13"/>
        </w:rPr>
      </w:pPr>
    </w:p>
    <w:p w14:paraId="521B0161" w14:textId="77777777" w:rsidR="002405DE" w:rsidRPr="00775662" w:rsidRDefault="0001108D" w:rsidP="002405DE">
      <w:pPr>
        <w:spacing w:line="276" w:lineRule="auto"/>
        <w:jc w:val="both"/>
        <w:rPr>
          <w:rFonts w:asciiTheme="majorHAnsi" w:hAnsiTheme="majorHAnsi"/>
          <w:b/>
          <w:color w:val="3E7BB6"/>
          <w:sz w:val="28"/>
          <w:szCs w:val="24"/>
        </w:rPr>
      </w:pPr>
      <w:r w:rsidRPr="00772BA0">
        <w:rPr>
          <w:rFonts w:asciiTheme="majorHAnsi" w:hAnsiTheme="majorHAnsi"/>
          <w:b/>
          <w:color w:val="3E7BB6"/>
          <w:sz w:val="28"/>
          <w:szCs w:val="24"/>
        </w:rPr>
        <w:t>What Investors May Be Talking About in April</w:t>
      </w:r>
    </w:p>
    <w:p w14:paraId="7110BEA7" w14:textId="77777777" w:rsidR="00772BA0" w:rsidRPr="00772BA0" w:rsidRDefault="0001108D" w:rsidP="00772BA0">
      <w:pPr>
        <w:spacing w:line="276" w:lineRule="auto"/>
        <w:jc w:val="both"/>
        <w:rPr>
          <w:rStyle w:val="st"/>
          <w:rFonts w:asciiTheme="majorHAnsi" w:eastAsia="Calibri" w:hAnsiTheme="majorHAnsi" w:cs="Consolas"/>
          <w:sz w:val="24"/>
          <w:szCs w:val="24"/>
        </w:rPr>
      </w:pPr>
      <w:r w:rsidRPr="00772BA0">
        <w:rPr>
          <w:rStyle w:val="st"/>
          <w:rFonts w:asciiTheme="majorHAnsi" w:eastAsia="Calibri" w:hAnsiTheme="majorHAnsi" w:cs="Consolas"/>
          <w:sz w:val="24"/>
          <w:szCs w:val="24"/>
        </w:rPr>
        <w:t>A new ea</w:t>
      </w:r>
      <w:r w:rsidRPr="00772BA0">
        <w:rPr>
          <w:rStyle w:val="st"/>
          <w:rFonts w:asciiTheme="majorHAnsi" w:eastAsia="Calibri" w:hAnsiTheme="majorHAnsi" w:cs="Consolas"/>
          <w:sz w:val="24"/>
          <w:szCs w:val="24"/>
        </w:rPr>
        <w:t>rnings season is fast approaching, and investors will be poring over financial statements to gauge business prospects.</w:t>
      </w:r>
    </w:p>
    <w:p w14:paraId="2A6EF365" w14:textId="77777777" w:rsidR="00772BA0" w:rsidRPr="00772BA0" w:rsidRDefault="0001108D" w:rsidP="00772BA0">
      <w:pPr>
        <w:spacing w:line="276" w:lineRule="auto"/>
        <w:jc w:val="both"/>
        <w:rPr>
          <w:rStyle w:val="st"/>
          <w:rFonts w:asciiTheme="majorHAnsi" w:eastAsia="Calibri" w:hAnsiTheme="majorHAnsi" w:cs="Consolas"/>
          <w:sz w:val="24"/>
          <w:szCs w:val="24"/>
        </w:rPr>
      </w:pPr>
      <w:r w:rsidRPr="00772BA0">
        <w:rPr>
          <w:rStyle w:val="st"/>
          <w:rFonts w:asciiTheme="majorHAnsi" w:eastAsia="Calibri" w:hAnsiTheme="majorHAnsi" w:cs="Consolas"/>
          <w:sz w:val="24"/>
          <w:szCs w:val="24"/>
        </w:rPr>
        <w:t>Thanks to the fiscal stimulus, vaccinations, and more reopenings, many economists believe that growth will accelerate at the macro level.</w:t>
      </w:r>
      <w:r w:rsidRPr="00772BA0">
        <w:rPr>
          <w:rStyle w:val="st"/>
          <w:rFonts w:asciiTheme="majorHAnsi" w:eastAsia="Calibri" w:hAnsiTheme="majorHAnsi" w:cs="Consolas"/>
          <w:sz w:val="24"/>
          <w:szCs w:val="24"/>
        </w:rPr>
        <w:t xml:space="preserve"> Economic reports, such as retail sales and industrial production, will help economists measure the momentum. </w:t>
      </w:r>
    </w:p>
    <w:p w14:paraId="7D7C44BA" w14:textId="77777777" w:rsidR="000E566E" w:rsidRPr="008059E3" w:rsidRDefault="0001108D" w:rsidP="00772BA0">
      <w:pPr>
        <w:spacing w:line="276" w:lineRule="auto"/>
        <w:jc w:val="both"/>
        <w:rPr>
          <w:rStyle w:val="st"/>
          <w:rFonts w:asciiTheme="majorHAnsi" w:hAnsiTheme="majorHAnsi"/>
          <w:sz w:val="24"/>
          <w:szCs w:val="24"/>
        </w:rPr>
      </w:pPr>
      <w:r w:rsidRPr="00772BA0">
        <w:rPr>
          <w:rStyle w:val="st"/>
          <w:rFonts w:asciiTheme="majorHAnsi" w:eastAsia="Calibri" w:hAnsiTheme="majorHAnsi" w:cs="Consolas"/>
          <w:sz w:val="24"/>
          <w:szCs w:val="24"/>
        </w:rPr>
        <w:t>However, inflation numbers will continue to be closely scrutinized. Any pickup could rattle investor confidence in the Fed’s policy to keep the s</w:t>
      </w:r>
      <w:r w:rsidRPr="00772BA0">
        <w:rPr>
          <w:rStyle w:val="st"/>
          <w:rFonts w:asciiTheme="majorHAnsi" w:eastAsia="Calibri" w:hAnsiTheme="majorHAnsi" w:cs="Consolas"/>
          <w:sz w:val="24"/>
          <w:szCs w:val="24"/>
        </w:rPr>
        <w:t>hort-term rates near zero—a central pillar supporting the financial markets (see “The Fed” section below).</w:t>
      </w:r>
    </w:p>
    <w:p w14:paraId="23658803" w14:textId="77777777" w:rsidR="00E24345" w:rsidRPr="00DD38C0" w:rsidRDefault="0001108D" w:rsidP="00EE6BF2">
      <w:pPr>
        <w:spacing w:line="276" w:lineRule="auto"/>
        <w:rPr>
          <w:rStyle w:val="st"/>
          <w:rFonts w:asciiTheme="majorHAnsi" w:hAnsiTheme="majorHAnsi"/>
          <w:sz w:val="4"/>
        </w:rPr>
      </w:pPr>
    </w:p>
    <w:p w14:paraId="091F990F" w14:textId="77777777" w:rsidR="006D5A63" w:rsidRDefault="0001108D"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668D0BCC" wp14:editId="4C0A7583">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1C3F903F" w14:textId="77777777" w:rsidR="006D5A63" w:rsidRPr="00DD38C0" w:rsidRDefault="0001108D" w:rsidP="00EE6BF2">
      <w:pPr>
        <w:spacing w:line="276" w:lineRule="auto"/>
        <w:jc w:val="center"/>
        <w:rPr>
          <w:rStyle w:val="st"/>
          <w:rFonts w:asciiTheme="majorHAnsi" w:hAnsiTheme="majorHAnsi"/>
          <w:color w:val="E88E0A"/>
          <w:sz w:val="4"/>
        </w:rPr>
      </w:pPr>
    </w:p>
    <w:p w14:paraId="4D8D726A" w14:textId="77777777" w:rsidR="006D5A63" w:rsidRPr="00DD38C0" w:rsidRDefault="0001108D"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14:paraId="466B28D2" w14:textId="77777777" w:rsidR="006D5A63" w:rsidRDefault="0001108D"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484B0BB7" wp14:editId="020D3F41">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14:paraId="1809D1BD" w14:textId="77777777" w:rsidR="006D5A63" w:rsidRPr="0047025A" w:rsidRDefault="0001108D" w:rsidP="00EE6BF2">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r w:rsidRPr="00772BA0">
        <w:rPr>
          <w:rStyle w:val="st"/>
          <w:rFonts w:asciiTheme="majorHAnsi" w:hAnsiTheme="majorHAnsi"/>
          <w:i/>
          <w:sz w:val="28"/>
        </w:rPr>
        <w:t xml:space="preserve">If you’re buying a house, strive to put at least 20% down so you can avoid the requirement for private </w:t>
      </w:r>
      <w:r w:rsidRPr="00772BA0">
        <w:rPr>
          <w:rStyle w:val="st"/>
          <w:rFonts w:asciiTheme="majorHAnsi" w:hAnsiTheme="majorHAnsi"/>
          <w:i/>
          <w:sz w:val="28"/>
        </w:rPr>
        <w:t>mortgage insurance (PMI)</w:t>
      </w:r>
      <w:r w:rsidRPr="00B60BB5">
        <w:rPr>
          <w:rStyle w:val="st"/>
          <w:rFonts w:asciiTheme="majorHAnsi" w:hAnsiTheme="majorHAnsi"/>
          <w:i/>
          <w:sz w:val="28"/>
        </w:rPr>
        <w:t>.</w:t>
      </w:r>
    </w:p>
    <w:p w14:paraId="4BC00425" w14:textId="77777777" w:rsidR="006D5A63" w:rsidRPr="00DD38C0" w:rsidRDefault="0001108D" w:rsidP="00EE6BF2">
      <w:pPr>
        <w:spacing w:line="276" w:lineRule="auto"/>
        <w:jc w:val="center"/>
        <w:rPr>
          <w:rStyle w:val="st"/>
          <w:rFonts w:asciiTheme="majorHAnsi" w:hAnsiTheme="majorHAnsi"/>
          <w:i/>
          <w:color w:val="E88E0A"/>
          <w:sz w:val="4"/>
        </w:rPr>
      </w:pPr>
    </w:p>
    <w:p w14:paraId="206BDA08" w14:textId="77777777" w:rsidR="00E24345" w:rsidRDefault="0001108D"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514056F0" wp14:editId="2C54031E">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64982F88" w14:textId="77777777" w:rsidR="00373CC8" w:rsidRPr="00DD38C0" w:rsidRDefault="0001108D" w:rsidP="00EE6BF2">
      <w:pPr>
        <w:spacing w:line="276" w:lineRule="auto"/>
        <w:rPr>
          <w:rFonts w:asciiTheme="majorHAnsi" w:hAnsiTheme="majorHAnsi"/>
          <w:b/>
          <w:color w:val="E88E0A"/>
          <w:spacing w:val="-2"/>
          <w:sz w:val="8"/>
        </w:rPr>
      </w:pPr>
    </w:p>
    <w:p w14:paraId="0015B479" w14:textId="77777777" w:rsidR="004F4878" w:rsidRDefault="004F4878" w:rsidP="00EE6BF2">
      <w:pPr>
        <w:spacing w:line="276" w:lineRule="auto"/>
        <w:rPr>
          <w:rFonts w:asciiTheme="majorHAnsi" w:hAnsiTheme="majorHAnsi"/>
          <w:b/>
          <w:color w:val="3E7BB6"/>
          <w:spacing w:val="-2"/>
          <w:sz w:val="28"/>
        </w:rPr>
      </w:pPr>
    </w:p>
    <w:p w14:paraId="3D647150" w14:textId="34B0DCDC" w:rsidR="00775662" w:rsidRPr="007A5A6C" w:rsidRDefault="0001108D" w:rsidP="00EE6BF2">
      <w:pPr>
        <w:spacing w:line="276" w:lineRule="auto"/>
        <w:rPr>
          <w:rFonts w:asciiTheme="majorHAnsi" w:hAnsiTheme="majorHAnsi"/>
          <w:b/>
          <w:spacing w:val="-2"/>
          <w:sz w:val="28"/>
        </w:rPr>
      </w:pPr>
      <w:r w:rsidRPr="00AF2FAA">
        <w:rPr>
          <w:rFonts w:asciiTheme="majorHAnsi" w:hAnsiTheme="majorHAnsi"/>
          <w:b/>
          <w:color w:val="3E7BB6"/>
          <w:spacing w:val="-2"/>
          <w:sz w:val="28"/>
        </w:rPr>
        <w:lastRenderedPageBreak/>
        <w:t>World Markets</w:t>
      </w:r>
    </w:p>
    <w:p w14:paraId="515BDC09" w14:textId="77777777" w:rsidR="00772BA0" w:rsidRPr="00772BA0" w:rsidRDefault="0001108D" w:rsidP="00772BA0">
      <w:pPr>
        <w:spacing w:line="276" w:lineRule="auto"/>
        <w:rPr>
          <w:rStyle w:val="st"/>
          <w:rFonts w:asciiTheme="majorHAnsi" w:hAnsiTheme="majorHAnsi"/>
          <w:sz w:val="24"/>
        </w:rPr>
      </w:pPr>
      <w:r w:rsidRPr="00772BA0">
        <w:rPr>
          <w:rStyle w:val="st"/>
          <w:rFonts w:asciiTheme="majorHAnsi" w:hAnsiTheme="majorHAnsi"/>
          <w:sz w:val="24"/>
        </w:rPr>
        <w:t>Overseas markets posted solid returns in March, as improving sentiment regarding an economic recovery outweighed further lockdowns in Europe. For the month, the MSCI-EAFE Index rose 2.18 percent.</w:t>
      </w:r>
      <w:r w:rsidRPr="00143A71">
        <w:rPr>
          <w:rStyle w:val="st"/>
          <w:rFonts w:asciiTheme="majorHAnsi" w:hAnsiTheme="majorHAnsi"/>
          <w:sz w:val="24"/>
          <w:vertAlign w:val="superscript"/>
        </w:rPr>
        <w:t>5</w:t>
      </w:r>
    </w:p>
    <w:p w14:paraId="4C15142B" w14:textId="77777777" w:rsidR="00772BA0" w:rsidRPr="00772BA0" w:rsidRDefault="0001108D" w:rsidP="00772BA0">
      <w:pPr>
        <w:spacing w:line="276" w:lineRule="auto"/>
        <w:rPr>
          <w:rStyle w:val="st"/>
          <w:rFonts w:asciiTheme="majorHAnsi" w:hAnsiTheme="majorHAnsi"/>
          <w:sz w:val="24"/>
        </w:rPr>
      </w:pPr>
      <w:r w:rsidRPr="00772BA0">
        <w:rPr>
          <w:rStyle w:val="st"/>
          <w:rFonts w:asciiTheme="majorHAnsi" w:hAnsiTheme="majorHAnsi"/>
          <w:sz w:val="24"/>
        </w:rPr>
        <w:t xml:space="preserve">The major </w:t>
      </w:r>
      <w:r w:rsidRPr="00772BA0">
        <w:rPr>
          <w:rStyle w:val="st"/>
          <w:rFonts w:asciiTheme="majorHAnsi" w:hAnsiTheme="majorHAnsi"/>
          <w:sz w:val="24"/>
        </w:rPr>
        <w:t>European markets ended higher. Germany led, picking up 8.86 percent. France rose 6.38 percent, and the UK tacked on 3.55 percent.</w:t>
      </w:r>
      <w:r w:rsidRPr="00143A71">
        <w:rPr>
          <w:rStyle w:val="st"/>
          <w:rFonts w:asciiTheme="majorHAnsi" w:hAnsiTheme="majorHAnsi"/>
          <w:sz w:val="24"/>
          <w:vertAlign w:val="superscript"/>
        </w:rPr>
        <w:t>6</w:t>
      </w:r>
    </w:p>
    <w:p w14:paraId="5FB399B9" w14:textId="77777777" w:rsidR="00AF2FAA" w:rsidRDefault="0001108D" w:rsidP="00772BA0">
      <w:pPr>
        <w:spacing w:line="276" w:lineRule="auto"/>
        <w:rPr>
          <w:rStyle w:val="st"/>
          <w:rFonts w:asciiTheme="majorHAnsi" w:hAnsiTheme="majorHAnsi"/>
          <w:sz w:val="24"/>
        </w:rPr>
      </w:pPr>
      <w:r w:rsidRPr="00772BA0">
        <w:rPr>
          <w:rStyle w:val="st"/>
          <w:rFonts w:asciiTheme="majorHAnsi" w:hAnsiTheme="majorHAnsi"/>
          <w:sz w:val="24"/>
        </w:rPr>
        <w:t>The returns on Pacific Rim stocks were mixed. Australia gained 1.76 percent and Japan added 0.73 percent, but Hang Seng slipp</w:t>
      </w:r>
      <w:r w:rsidRPr="00772BA0">
        <w:rPr>
          <w:rStyle w:val="st"/>
          <w:rFonts w:asciiTheme="majorHAnsi" w:hAnsiTheme="majorHAnsi"/>
          <w:sz w:val="24"/>
        </w:rPr>
        <w:t>ed -2.08 percent.</w:t>
      </w:r>
      <w:r w:rsidRPr="00143A71">
        <w:rPr>
          <w:rStyle w:val="st"/>
          <w:rFonts w:asciiTheme="majorHAnsi" w:hAnsiTheme="majorHAnsi"/>
          <w:sz w:val="24"/>
          <w:vertAlign w:val="superscript"/>
        </w:rPr>
        <w:t>7</w:t>
      </w:r>
    </w:p>
    <w:p w14:paraId="081D41D3" w14:textId="77777777" w:rsidR="00AF2FAA" w:rsidRPr="007A5A6C" w:rsidRDefault="0001108D" w:rsidP="00AF2FAA">
      <w:pPr>
        <w:spacing w:line="276" w:lineRule="auto"/>
        <w:rPr>
          <w:rFonts w:asciiTheme="majorHAnsi" w:hAnsiTheme="majorHAnsi"/>
          <w:b/>
          <w:spacing w:val="-2"/>
          <w:sz w:val="28"/>
        </w:rPr>
      </w:pPr>
      <w:r w:rsidRPr="00AF2FAA">
        <w:rPr>
          <w:rFonts w:asciiTheme="majorHAnsi" w:hAnsiTheme="majorHAnsi"/>
          <w:b/>
          <w:color w:val="3E7BB6"/>
          <w:spacing w:val="-2"/>
          <w:sz w:val="28"/>
        </w:rPr>
        <w:t>Indicators</w:t>
      </w:r>
    </w:p>
    <w:p w14:paraId="6572F98B" w14:textId="77777777" w:rsidR="001E7125" w:rsidRPr="001E7125" w:rsidRDefault="0001108D" w:rsidP="001E7125">
      <w:pPr>
        <w:spacing w:line="276" w:lineRule="auto"/>
        <w:rPr>
          <w:rStyle w:val="st"/>
          <w:rFonts w:asciiTheme="majorHAnsi" w:hAnsiTheme="majorHAnsi"/>
          <w:sz w:val="24"/>
        </w:rPr>
      </w:pPr>
      <w:r w:rsidRPr="001E7125">
        <w:rPr>
          <w:rStyle w:val="st"/>
          <w:rFonts w:asciiTheme="majorHAnsi" w:hAnsiTheme="majorHAnsi"/>
          <w:b/>
          <w:bCs/>
          <w:sz w:val="24"/>
        </w:rPr>
        <w:t>Gross Domestic Product:</w:t>
      </w:r>
      <w:r w:rsidRPr="001E7125">
        <w:rPr>
          <w:rStyle w:val="st"/>
          <w:rFonts w:asciiTheme="majorHAnsi" w:hAnsiTheme="majorHAnsi"/>
          <w:sz w:val="24"/>
        </w:rPr>
        <w:t xml:space="preserve"> </w:t>
      </w:r>
      <w:r w:rsidRPr="00143A71">
        <w:rPr>
          <w:rStyle w:val="st"/>
          <w:rFonts w:asciiTheme="majorHAnsi" w:hAnsiTheme="majorHAnsi"/>
          <w:sz w:val="24"/>
        </w:rPr>
        <w:t>The final read for the fourth quarter GDP growth was 4.3 percent, up from the previous estimate of 4.1 percent</w:t>
      </w:r>
      <w:r w:rsidRPr="001E7125">
        <w:rPr>
          <w:rStyle w:val="st"/>
          <w:rFonts w:asciiTheme="majorHAnsi" w:hAnsiTheme="majorHAnsi"/>
          <w:sz w:val="24"/>
        </w:rPr>
        <w:t>.</w:t>
      </w:r>
      <w:r>
        <w:rPr>
          <w:rStyle w:val="st"/>
          <w:rFonts w:asciiTheme="majorHAnsi" w:hAnsiTheme="majorHAnsi"/>
          <w:sz w:val="24"/>
          <w:vertAlign w:val="superscript"/>
        </w:rPr>
        <w:t>8</w:t>
      </w:r>
    </w:p>
    <w:p w14:paraId="06DC24B0" w14:textId="77777777" w:rsidR="001E7125" w:rsidRPr="001E7125" w:rsidRDefault="0001108D" w:rsidP="001E7125">
      <w:pPr>
        <w:spacing w:line="276" w:lineRule="auto"/>
        <w:rPr>
          <w:rStyle w:val="st"/>
          <w:rFonts w:asciiTheme="majorHAnsi" w:hAnsiTheme="majorHAnsi"/>
          <w:sz w:val="24"/>
        </w:rPr>
      </w:pPr>
      <w:r w:rsidRPr="001E7125">
        <w:rPr>
          <w:rStyle w:val="st"/>
          <w:rFonts w:asciiTheme="majorHAnsi" w:hAnsiTheme="majorHAnsi"/>
          <w:b/>
          <w:bCs/>
          <w:sz w:val="24"/>
        </w:rPr>
        <w:t>Employment:</w:t>
      </w:r>
      <w:r w:rsidRPr="001E7125">
        <w:rPr>
          <w:rStyle w:val="st"/>
          <w:rFonts w:asciiTheme="majorHAnsi" w:hAnsiTheme="majorHAnsi"/>
          <w:sz w:val="24"/>
        </w:rPr>
        <w:t xml:space="preserve"> </w:t>
      </w:r>
      <w:r w:rsidRPr="00143A71">
        <w:rPr>
          <w:rStyle w:val="st"/>
          <w:rFonts w:asciiTheme="majorHAnsi" w:hAnsiTheme="majorHAnsi"/>
          <w:sz w:val="24"/>
        </w:rPr>
        <w:t>Led by an acceleration in hiring by the leisure and hospitality industry, emp</w:t>
      </w:r>
      <w:r w:rsidRPr="00143A71">
        <w:rPr>
          <w:rStyle w:val="st"/>
          <w:rFonts w:asciiTheme="majorHAnsi" w:hAnsiTheme="majorHAnsi"/>
          <w:sz w:val="24"/>
        </w:rPr>
        <w:t>loyers added 379,000 new jobs in February. This beat consensus forecasts by a wide margin and lowered the unemployment rate to 6.2 percent</w:t>
      </w:r>
      <w:r w:rsidRPr="001E7125">
        <w:rPr>
          <w:rStyle w:val="st"/>
          <w:rFonts w:asciiTheme="majorHAnsi" w:hAnsiTheme="majorHAnsi"/>
          <w:sz w:val="24"/>
        </w:rPr>
        <w:t>.</w:t>
      </w:r>
      <w:r>
        <w:rPr>
          <w:rStyle w:val="st"/>
          <w:rFonts w:asciiTheme="majorHAnsi" w:hAnsiTheme="majorHAnsi"/>
          <w:sz w:val="24"/>
          <w:vertAlign w:val="superscript"/>
        </w:rPr>
        <w:t>9</w:t>
      </w:r>
    </w:p>
    <w:p w14:paraId="46782996" w14:textId="77777777" w:rsidR="001E7125" w:rsidRPr="001E7125" w:rsidRDefault="0001108D" w:rsidP="001E7125">
      <w:pPr>
        <w:spacing w:line="276" w:lineRule="auto"/>
        <w:rPr>
          <w:rStyle w:val="st"/>
          <w:rFonts w:asciiTheme="majorHAnsi" w:hAnsiTheme="majorHAnsi"/>
          <w:sz w:val="24"/>
        </w:rPr>
      </w:pPr>
      <w:r w:rsidRPr="001E7125">
        <w:rPr>
          <w:rStyle w:val="st"/>
          <w:rFonts w:asciiTheme="majorHAnsi" w:hAnsiTheme="majorHAnsi"/>
          <w:b/>
          <w:bCs/>
          <w:sz w:val="24"/>
        </w:rPr>
        <w:t>Retail Sales:</w:t>
      </w:r>
      <w:r w:rsidRPr="001E7125">
        <w:rPr>
          <w:rStyle w:val="st"/>
          <w:rFonts w:asciiTheme="majorHAnsi" w:hAnsiTheme="majorHAnsi"/>
          <w:sz w:val="24"/>
        </w:rPr>
        <w:t xml:space="preserve"> </w:t>
      </w:r>
      <w:r w:rsidRPr="00143A71">
        <w:rPr>
          <w:rStyle w:val="st"/>
          <w:rFonts w:asciiTheme="majorHAnsi" w:hAnsiTheme="majorHAnsi"/>
          <w:sz w:val="24"/>
        </w:rPr>
        <w:t xml:space="preserve">Retail sales fell by 3.0 percent in February, hampered by the month’s severe winter weather. </w:t>
      </w:r>
      <w:r w:rsidRPr="00143A71">
        <w:rPr>
          <w:rStyle w:val="st"/>
          <w:rFonts w:asciiTheme="majorHAnsi" w:hAnsiTheme="majorHAnsi"/>
          <w:sz w:val="24"/>
        </w:rPr>
        <w:t>January retail sales figures were revised upward, from 5.3 percent to 7.6 percent</w:t>
      </w:r>
      <w:r w:rsidRPr="001E7125">
        <w:rPr>
          <w:rStyle w:val="st"/>
          <w:rFonts w:asciiTheme="majorHAnsi" w:hAnsiTheme="majorHAnsi"/>
          <w:sz w:val="24"/>
        </w:rPr>
        <w:t>.</w:t>
      </w:r>
      <w:r>
        <w:rPr>
          <w:rStyle w:val="st"/>
          <w:rFonts w:asciiTheme="majorHAnsi" w:hAnsiTheme="majorHAnsi"/>
          <w:sz w:val="24"/>
          <w:vertAlign w:val="superscript"/>
        </w:rPr>
        <w:t>10</w:t>
      </w:r>
    </w:p>
    <w:p w14:paraId="0AE03B6F" w14:textId="77777777" w:rsidR="001E7125" w:rsidRPr="001E7125" w:rsidRDefault="0001108D" w:rsidP="001E7125">
      <w:pPr>
        <w:spacing w:line="276" w:lineRule="auto"/>
        <w:rPr>
          <w:rStyle w:val="st"/>
          <w:rFonts w:asciiTheme="majorHAnsi" w:hAnsiTheme="majorHAnsi"/>
          <w:sz w:val="24"/>
        </w:rPr>
      </w:pPr>
      <w:r w:rsidRPr="001E7125">
        <w:rPr>
          <w:rStyle w:val="st"/>
          <w:rFonts w:asciiTheme="majorHAnsi" w:hAnsiTheme="majorHAnsi"/>
          <w:b/>
          <w:bCs/>
          <w:sz w:val="24"/>
        </w:rPr>
        <w:t>Industrial Production:</w:t>
      </w:r>
      <w:r w:rsidRPr="001E7125">
        <w:rPr>
          <w:rStyle w:val="st"/>
          <w:rFonts w:asciiTheme="majorHAnsi" w:hAnsiTheme="majorHAnsi"/>
          <w:sz w:val="24"/>
        </w:rPr>
        <w:t xml:space="preserve"> </w:t>
      </w:r>
      <w:r w:rsidRPr="00143A71">
        <w:rPr>
          <w:rStyle w:val="st"/>
          <w:rFonts w:asciiTheme="majorHAnsi" w:hAnsiTheme="majorHAnsi"/>
          <w:sz w:val="24"/>
        </w:rPr>
        <w:t>Industrial output declined 2.2 percent. Industrial production was dragged lower by a drop in manufacturing production, which was impacted by Februar</w:t>
      </w:r>
      <w:r w:rsidRPr="00143A71">
        <w:rPr>
          <w:rStyle w:val="st"/>
          <w:rFonts w:asciiTheme="majorHAnsi" w:hAnsiTheme="majorHAnsi"/>
          <w:sz w:val="24"/>
        </w:rPr>
        <w:t>y’s inclement weather</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1</w:t>
      </w:r>
    </w:p>
    <w:p w14:paraId="5754BFEE" w14:textId="77777777" w:rsidR="001E7125" w:rsidRPr="001E7125" w:rsidRDefault="0001108D" w:rsidP="001E7125">
      <w:pPr>
        <w:spacing w:line="276" w:lineRule="auto"/>
        <w:rPr>
          <w:rStyle w:val="st"/>
          <w:rFonts w:asciiTheme="majorHAnsi" w:hAnsiTheme="majorHAnsi"/>
          <w:sz w:val="24"/>
        </w:rPr>
      </w:pPr>
      <w:r w:rsidRPr="001E7125">
        <w:rPr>
          <w:rStyle w:val="st"/>
          <w:rFonts w:asciiTheme="majorHAnsi" w:hAnsiTheme="majorHAnsi"/>
          <w:b/>
          <w:bCs/>
          <w:sz w:val="24"/>
        </w:rPr>
        <w:t>Housing:</w:t>
      </w:r>
      <w:r w:rsidRPr="001E7125">
        <w:rPr>
          <w:rStyle w:val="st"/>
          <w:rFonts w:asciiTheme="majorHAnsi" w:hAnsiTheme="majorHAnsi"/>
          <w:sz w:val="24"/>
        </w:rPr>
        <w:t xml:space="preserve"> </w:t>
      </w:r>
      <w:r w:rsidRPr="00143A71">
        <w:rPr>
          <w:rStyle w:val="st"/>
          <w:rFonts w:asciiTheme="majorHAnsi" w:hAnsiTheme="majorHAnsi"/>
          <w:sz w:val="24"/>
        </w:rPr>
        <w:t>Housing starts dropped an unexpected 10.3 percent, as severe weather and labor constraints affected activity</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2</w:t>
      </w:r>
    </w:p>
    <w:p w14:paraId="6953E68C" w14:textId="77777777" w:rsidR="001E7125" w:rsidRPr="001E7125" w:rsidRDefault="0001108D" w:rsidP="001E7125">
      <w:pPr>
        <w:spacing w:line="276" w:lineRule="auto"/>
        <w:rPr>
          <w:rStyle w:val="st"/>
          <w:rFonts w:asciiTheme="majorHAnsi" w:hAnsiTheme="majorHAnsi"/>
          <w:sz w:val="24"/>
        </w:rPr>
      </w:pPr>
      <w:r w:rsidRPr="00143A71">
        <w:rPr>
          <w:rStyle w:val="st"/>
          <w:rFonts w:asciiTheme="majorHAnsi" w:hAnsiTheme="majorHAnsi"/>
          <w:sz w:val="24"/>
        </w:rPr>
        <w:t>Existing home sales declined 6.6 percent amid a tightening supply of homes on the market. Despite the drop fro</w:t>
      </w:r>
      <w:r w:rsidRPr="00143A71">
        <w:rPr>
          <w:rStyle w:val="st"/>
          <w:rFonts w:asciiTheme="majorHAnsi" w:hAnsiTheme="majorHAnsi"/>
          <w:sz w:val="24"/>
        </w:rPr>
        <w:t>m January levels, sales in February exceeded those in the same period in 2020 by 9.1 percent</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3</w:t>
      </w:r>
    </w:p>
    <w:p w14:paraId="52C087F0" w14:textId="77777777" w:rsidR="001E7125" w:rsidRPr="001E7125" w:rsidRDefault="0001108D" w:rsidP="001E7125">
      <w:pPr>
        <w:spacing w:line="276" w:lineRule="auto"/>
        <w:rPr>
          <w:rStyle w:val="st"/>
          <w:rFonts w:asciiTheme="majorHAnsi" w:hAnsiTheme="majorHAnsi"/>
          <w:sz w:val="24"/>
        </w:rPr>
      </w:pPr>
      <w:r w:rsidRPr="00143A71">
        <w:rPr>
          <w:rStyle w:val="st"/>
          <w:rFonts w:asciiTheme="majorHAnsi" w:hAnsiTheme="majorHAnsi"/>
          <w:sz w:val="24"/>
        </w:rPr>
        <w:t>Sales of new homes fell 18.2 percent, owing to inclement weather and a tight supply</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4</w:t>
      </w:r>
    </w:p>
    <w:p w14:paraId="3F2BDE6D" w14:textId="77777777" w:rsidR="001E7125" w:rsidRPr="001E7125" w:rsidRDefault="0001108D" w:rsidP="001E7125">
      <w:pPr>
        <w:spacing w:line="276" w:lineRule="auto"/>
        <w:rPr>
          <w:rStyle w:val="st"/>
          <w:rFonts w:asciiTheme="majorHAnsi" w:hAnsiTheme="majorHAnsi"/>
          <w:sz w:val="24"/>
        </w:rPr>
      </w:pPr>
      <w:r w:rsidRPr="001E7125">
        <w:rPr>
          <w:rStyle w:val="st"/>
          <w:rFonts w:asciiTheme="majorHAnsi" w:hAnsiTheme="majorHAnsi"/>
          <w:b/>
          <w:bCs/>
          <w:sz w:val="24"/>
        </w:rPr>
        <w:t>Consumer Price Index:</w:t>
      </w:r>
      <w:r w:rsidRPr="001E7125">
        <w:rPr>
          <w:rStyle w:val="st"/>
          <w:rFonts w:asciiTheme="majorHAnsi" w:hAnsiTheme="majorHAnsi"/>
          <w:sz w:val="24"/>
        </w:rPr>
        <w:t xml:space="preserve"> </w:t>
      </w:r>
      <w:r w:rsidRPr="00143A71">
        <w:rPr>
          <w:rStyle w:val="st"/>
          <w:rFonts w:asciiTheme="majorHAnsi" w:hAnsiTheme="majorHAnsi"/>
          <w:sz w:val="24"/>
        </w:rPr>
        <w:t>Prices of consumer goods rose by 0.4 percent in Feb</w:t>
      </w:r>
      <w:r w:rsidRPr="00143A71">
        <w:rPr>
          <w:rStyle w:val="st"/>
          <w:rFonts w:asciiTheme="majorHAnsi" w:hAnsiTheme="majorHAnsi"/>
          <w:sz w:val="24"/>
        </w:rPr>
        <w:t>ruary, as gasoline prices jumped 6.4 percent. Core inflation, which excludes the more volatile food and energy sectors, was up 0.1 percent last month</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5</w:t>
      </w:r>
    </w:p>
    <w:p w14:paraId="1100C614" w14:textId="77777777" w:rsidR="001E7125" w:rsidRDefault="0001108D" w:rsidP="001E7125">
      <w:pPr>
        <w:spacing w:line="276" w:lineRule="auto"/>
        <w:rPr>
          <w:rStyle w:val="st"/>
          <w:rFonts w:asciiTheme="majorHAnsi" w:hAnsiTheme="majorHAnsi"/>
          <w:sz w:val="24"/>
          <w:vertAlign w:val="superscript"/>
        </w:rPr>
      </w:pPr>
      <w:r w:rsidRPr="001E7125">
        <w:rPr>
          <w:rStyle w:val="st"/>
          <w:rFonts w:asciiTheme="majorHAnsi" w:hAnsiTheme="majorHAnsi"/>
          <w:b/>
          <w:bCs/>
          <w:sz w:val="24"/>
        </w:rPr>
        <w:t>Durable Goods Orders:</w:t>
      </w:r>
      <w:r w:rsidRPr="001E7125">
        <w:rPr>
          <w:rStyle w:val="st"/>
          <w:rFonts w:asciiTheme="majorHAnsi" w:hAnsiTheme="majorHAnsi"/>
          <w:sz w:val="24"/>
        </w:rPr>
        <w:t xml:space="preserve">  </w:t>
      </w:r>
      <w:r w:rsidRPr="00143A71">
        <w:rPr>
          <w:rStyle w:val="st"/>
          <w:rFonts w:asciiTheme="majorHAnsi" w:hAnsiTheme="majorHAnsi"/>
          <w:sz w:val="24"/>
        </w:rPr>
        <w:t>Durable goods orders fell 1.1 percent, the first decline in 10 months</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6</w:t>
      </w:r>
    </w:p>
    <w:p w14:paraId="7FF5036E" w14:textId="77777777" w:rsidR="0001108D" w:rsidRDefault="0001108D" w:rsidP="00B60BB5">
      <w:pPr>
        <w:spacing w:line="276" w:lineRule="auto"/>
        <w:jc w:val="center"/>
        <w:rPr>
          <w:rStyle w:val="st"/>
          <w:rFonts w:asciiTheme="majorHAnsi" w:hAnsiTheme="majorHAnsi"/>
        </w:rPr>
      </w:pPr>
    </w:p>
    <w:p w14:paraId="6B745343" w14:textId="77777777" w:rsidR="0001108D" w:rsidRDefault="0001108D" w:rsidP="00B60BB5">
      <w:pPr>
        <w:spacing w:line="276" w:lineRule="auto"/>
        <w:jc w:val="center"/>
        <w:rPr>
          <w:rStyle w:val="st"/>
          <w:rFonts w:asciiTheme="majorHAnsi" w:hAnsiTheme="majorHAnsi"/>
        </w:rPr>
      </w:pPr>
    </w:p>
    <w:p w14:paraId="65BBB5DF" w14:textId="75918A52" w:rsidR="00B60BB5" w:rsidRDefault="0001108D" w:rsidP="00B60BB5">
      <w:pPr>
        <w:spacing w:line="276" w:lineRule="auto"/>
        <w:jc w:val="center"/>
        <w:rPr>
          <w:rStyle w:val="st"/>
          <w:rFonts w:asciiTheme="majorHAnsi" w:hAnsiTheme="majorHAnsi"/>
        </w:rPr>
      </w:pPr>
      <w:r w:rsidRPr="004A2938">
        <w:rPr>
          <w:rFonts w:asciiTheme="majorHAnsi" w:hAnsiTheme="majorHAnsi"/>
          <w:noProof/>
          <w:sz w:val="10"/>
        </w:rPr>
        <w:lastRenderedPageBreak/>
        <w:drawing>
          <wp:inline distT="0" distB="0" distL="0" distR="0" wp14:anchorId="2E085CC8" wp14:editId="11DC380E">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6D3D0639" w14:textId="77777777" w:rsidR="00B60BB5" w:rsidRPr="00DD38C0" w:rsidRDefault="0001108D" w:rsidP="00B60BB5">
      <w:pPr>
        <w:spacing w:line="276" w:lineRule="auto"/>
        <w:jc w:val="center"/>
        <w:rPr>
          <w:rStyle w:val="st"/>
          <w:rFonts w:asciiTheme="majorHAnsi" w:hAnsiTheme="majorHAnsi"/>
          <w:color w:val="E88E0A"/>
          <w:sz w:val="4"/>
        </w:rPr>
      </w:pPr>
    </w:p>
    <w:p w14:paraId="6D613789" w14:textId="77777777" w:rsidR="004F4878" w:rsidRDefault="004F4878" w:rsidP="00B60BB5">
      <w:pPr>
        <w:spacing w:line="276" w:lineRule="auto"/>
        <w:jc w:val="center"/>
        <w:rPr>
          <w:rStyle w:val="st"/>
          <w:rFonts w:asciiTheme="majorHAnsi" w:hAnsiTheme="majorHAnsi"/>
          <w:color w:val="3E7BB6"/>
        </w:rPr>
      </w:pPr>
    </w:p>
    <w:p w14:paraId="5924AD38" w14:textId="5BB9438C" w:rsidR="00B60BB5" w:rsidRPr="00CE13AE" w:rsidRDefault="0001108D" w:rsidP="00B60BB5">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14:paraId="6F162890" w14:textId="77777777" w:rsidR="00B60BB5" w:rsidRPr="00DD38C0" w:rsidRDefault="0001108D" w:rsidP="00B60BB5">
      <w:pPr>
        <w:spacing w:line="276" w:lineRule="auto"/>
        <w:jc w:val="center"/>
        <w:rPr>
          <w:rStyle w:val="st"/>
          <w:rFonts w:asciiTheme="majorHAnsi" w:hAnsiTheme="majorHAnsi"/>
          <w:sz w:val="4"/>
        </w:rPr>
      </w:pPr>
    </w:p>
    <w:p w14:paraId="401F19BE" w14:textId="77777777" w:rsidR="00B60BB5" w:rsidRDefault="0001108D" w:rsidP="00B60BB5">
      <w:pPr>
        <w:spacing w:line="276" w:lineRule="auto"/>
        <w:jc w:val="center"/>
        <w:rPr>
          <w:rStyle w:val="st"/>
          <w:rFonts w:asciiTheme="majorHAnsi" w:hAnsiTheme="majorHAnsi"/>
        </w:rPr>
      </w:pPr>
      <w:r>
        <w:rPr>
          <w:rFonts w:asciiTheme="majorHAnsi" w:hAnsiTheme="majorHAnsi"/>
          <w:noProof/>
        </w:rPr>
        <w:drawing>
          <wp:inline distT="0" distB="0" distL="0" distR="0" wp14:anchorId="485F2AEE" wp14:editId="05FECEFF">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042B6A90" w14:textId="77777777" w:rsidR="00B60BB5" w:rsidRPr="00F5056A" w:rsidRDefault="0001108D" w:rsidP="00B60BB5">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143A71">
        <w:rPr>
          <w:rStyle w:val="st"/>
          <w:rFonts w:asciiTheme="majorHAnsi" w:hAnsiTheme="majorHAnsi"/>
          <w:i/>
          <w:sz w:val="36"/>
        </w:rPr>
        <w:t>Don’t let yesterday take up too much of today</w:t>
      </w:r>
      <w:r w:rsidRPr="00F5056A">
        <w:rPr>
          <w:rStyle w:val="st"/>
          <w:rFonts w:asciiTheme="majorHAnsi" w:hAnsiTheme="majorHAnsi"/>
          <w:b/>
          <w:i/>
          <w:sz w:val="36"/>
        </w:rPr>
        <w:t>.</w:t>
      </w:r>
      <w:r w:rsidRPr="00F5056A">
        <w:rPr>
          <w:rStyle w:val="st"/>
          <w:rFonts w:asciiTheme="majorHAnsi" w:hAnsiTheme="majorHAnsi"/>
          <w:i/>
          <w:sz w:val="36"/>
        </w:rPr>
        <w:t>”</w:t>
      </w:r>
    </w:p>
    <w:p w14:paraId="10A3D64E" w14:textId="77777777" w:rsidR="00B60BB5" w:rsidRPr="00825DF7" w:rsidRDefault="0001108D" w:rsidP="00B60BB5">
      <w:pPr>
        <w:spacing w:line="276" w:lineRule="auto"/>
        <w:jc w:val="center"/>
        <w:rPr>
          <w:rStyle w:val="st"/>
          <w:rFonts w:asciiTheme="majorHAnsi" w:hAnsiTheme="majorHAnsi"/>
          <w:caps/>
          <w:color w:val="3E7BB6"/>
          <w:sz w:val="24"/>
        </w:rPr>
      </w:pPr>
      <w:r>
        <w:rPr>
          <w:rStyle w:val="st"/>
          <w:rFonts w:asciiTheme="majorHAnsi" w:hAnsiTheme="majorHAnsi"/>
          <w:i/>
          <w:caps/>
          <w:color w:val="3E7BB6"/>
        </w:rPr>
        <w:t>WILL ROGERS</w:t>
      </w:r>
    </w:p>
    <w:p w14:paraId="78612674" w14:textId="77777777" w:rsidR="00B60BB5" w:rsidRPr="00DD38C0" w:rsidRDefault="0001108D" w:rsidP="00B60BB5">
      <w:pPr>
        <w:spacing w:line="276" w:lineRule="auto"/>
        <w:jc w:val="center"/>
        <w:rPr>
          <w:rStyle w:val="st"/>
          <w:rFonts w:asciiTheme="majorHAnsi" w:hAnsiTheme="majorHAnsi"/>
          <w:i/>
          <w:color w:val="E88E0A"/>
          <w:sz w:val="4"/>
        </w:rPr>
      </w:pPr>
    </w:p>
    <w:p w14:paraId="420D3237" w14:textId="77777777" w:rsidR="00B60BB5" w:rsidRDefault="0001108D" w:rsidP="00B60BB5">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1B57BAA5" wp14:editId="0FA013A7">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0F4C4E69" w14:textId="77777777" w:rsidR="00B60BB5" w:rsidRDefault="0001108D" w:rsidP="001E7125">
      <w:pPr>
        <w:spacing w:line="276" w:lineRule="auto"/>
        <w:rPr>
          <w:rStyle w:val="st"/>
          <w:rFonts w:asciiTheme="majorHAnsi" w:hAnsiTheme="majorHAnsi"/>
          <w:sz w:val="24"/>
        </w:rPr>
      </w:pPr>
    </w:p>
    <w:p w14:paraId="7D68D13B" w14:textId="77777777" w:rsidR="001E7125" w:rsidRPr="007A5A6C" w:rsidRDefault="0001108D" w:rsidP="001E7125">
      <w:pPr>
        <w:spacing w:line="276" w:lineRule="auto"/>
        <w:rPr>
          <w:rFonts w:asciiTheme="majorHAnsi" w:hAnsiTheme="majorHAnsi"/>
          <w:b/>
          <w:spacing w:val="-2"/>
          <w:sz w:val="28"/>
        </w:rPr>
      </w:pPr>
      <w:r w:rsidRPr="001E7125">
        <w:rPr>
          <w:rFonts w:asciiTheme="majorHAnsi" w:hAnsiTheme="majorHAnsi"/>
          <w:b/>
          <w:color w:val="3E7BB6"/>
          <w:spacing w:val="-2"/>
          <w:sz w:val="28"/>
        </w:rPr>
        <w:t>The Fed</w:t>
      </w:r>
    </w:p>
    <w:p w14:paraId="392FC264" w14:textId="77777777" w:rsidR="00143A71" w:rsidRPr="00143A71" w:rsidRDefault="0001108D" w:rsidP="00143A71">
      <w:pPr>
        <w:spacing w:line="276" w:lineRule="auto"/>
        <w:rPr>
          <w:rStyle w:val="st"/>
          <w:rFonts w:asciiTheme="majorHAnsi" w:hAnsiTheme="majorHAnsi"/>
          <w:sz w:val="24"/>
        </w:rPr>
      </w:pPr>
      <w:r w:rsidRPr="00143A71">
        <w:rPr>
          <w:rStyle w:val="st"/>
          <w:rFonts w:asciiTheme="majorHAnsi" w:hAnsiTheme="majorHAnsi"/>
          <w:sz w:val="24"/>
        </w:rPr>
        <w:t xml:space="preserve">The message coming out of March Federal Open Market Committee (FOMC) meeting remained consistent: The Fed would maintain its near-zero </w:t>
      </w:r>
      <w:r w:rsidRPr="00143A71">
        <w:rPr>
          <w:rStyle w:val="st"/>
          <w:rFonts w:asciiTheme="majorHAnsi" w:hAnsiTheme="majorHAnsi"/>
          <w:sz w:val="24"/>
        </w:rPr>
        <w:t>interest rate policy and monthly bond purchasing program.</w:t>
      </w:r>
    </w:p>
    <w:p w14:paraId="784136D7" w14:textId="77777777" w:rsidR="00143A71" w:rsidRPr="00143A71" w:rsidRDefault="0001108D" w:rsidP="00143A71">
      <w:pPr>
        <w:spacing w:line="276" w:lineRule="auto"/>
        <w:rPr>
          <w:rStyle w:val="st"/>
          <w:rFonts w:asciiTheme="majorHAnsi" w:hAnsiTheme="majorHAnsi"/>
          <w:sz w:val="24"/>
        </w:rPr>
      </w:pPr>
      <w:r w:rsidRPr="00143A71">
        <w:rPr>
          <w:rStyle w:val="st"/>
          <w:rFonts w:asciiTheme="majorHAnsi" w:hAnsiTheme="majorHAnsi"/>
          <w:sz w:val="24"/>
        </w:rPr>
        <w:t xml:space="preserve">Fed officials stated that they expect some pickup in inflation this year but price increases would be transitory. They also said any changes to monetary policy would be communicated well in advance </w:t>
      </w:r>
      <w:r w:rsidRPr="00143A71">
        <w:rPr>
          <w:rStyle w:val="st"/>
          <w:rFonts w:asciiTheme="majorHAnsi" w:hAnsiTheme="majorHAnsi"/>
          <w:sz w:val="24"/>
        </w:rPr>
        <w:t>of a policy change.</w:t>
      </w:r>
      <w:r w:rsidRPr="00143A71">
        <w:rPr>
          <w:rStyle w:val="st"/>
          <w:rFonts w:asciiTheme="majorHAnsi" w:hAnsiTheme="majorHAnsi"/>
          <w:sz w:val="24"/>
          <w:vertAlign w:val="superscript"/>
        </w:rPr>
        <w:t>17</w:t>
      </w:r>
    </w:p>
    <w:p w14:paraId="78E1BF00" w14:textId="77777777" w:rsidR="00143A71" w:rsidRPr="00143A71" w:rsidRDefault="0001108D" w:rsidP="00143A71">
      <w:pPr>
        <w:spacing w:line="276" w:lineRule="auto"/>
        <w:rPr>
          <w:rStyle w:val="st"/>
          <w:rFonts w:asciiTheme="majorHAnsi" w:hAnsiTheme="majorHAnsi"/>
          <w:sz w:val="24"/>
        </w:rPr>
      </w:pPr>
      <w:r w:rsidRPr="00143A71">
        <w:rPr>
          <w:rStyle w:val="st"/>
          <w:rFonts w:asciiTheme="majorHAnsi" w:hAnsiTheme="majorHAnsi"/>
          <w:sz w:val="24"/>
        </w:rPr>
        <w:t>“Overall inflation remains below our 2 percent longer-run objective,” Fed Chair Jerome Powell said in prepared remarks. “Over the next few months, 12-month measures of inflation will move up as the very low readings from March and Apr</w:t>
      </w:r>
      <w:r w:rsidRPr="00143A71">
        <w:rPr>
          <w:rStyle w:val="st"/>
          <w:rFonts w:asciiTheme="majorHAnsi" w:hAnsiTheme="majorHAnsi"/>
          <w:sz w:val="24"/>
        </w:rPr>
        <w:t>il of last year fall out of the calculation.”</w:t>
      </w:r>
    </w:p>
    <w:p w14:paraId="07696E98" w14:textId="77777777" w:rsidR="00143A71" w:rsidRPr="00143A71" w:rsidRDefault="0001108D" w:rsidP="00143A71">
      <w:pPr>
        <w:spacing w:line="276" w:lineRule="auto"/>
        <w:rPr>
          <w:rStyle w:val="st"/>
          <w:rFonts w:asciiTheme="majorHAnsi" w:hAnsiTheme="majorHAnsi"/>
          <w:sz w:val="24"/>
        </w:rPr>
      </w:pPr>
      <w:r w:rsidRPr="00143A71">
        <w:rPr>
          <w:rStyle w:val="st"/>
          <w:rFonts w:asciiTheme="majorHAnsi" w:hAnsiTheme="majorHAnsi"/>
          <w:sz w:val="24"/>
        </w:rPr>
        <w:t>“Beyond these base effects, we could also see upward pressure on prices if spending rebounds quickly as the economy continues to reopen, particularly if supply bottlenecks limit how quickly production can respo</w:t>
      </w:r>
      <w:r w:rsidRPr="00143A71">
        <w:rPr>
          <w:rStyle w:val="st"/>
          <w:rFonts w:asciiTheme="majorHAnsi" w:hAnsiTheme="majorHAnsi"/>
          <w:sz w:val="24"/>
        </w:rPr>
        <w:t xml:space="preserve">nd in the near term,” he continued. </w:t>
      </w:r>
    </w:p>
    <w:p w14:paraId="72C47FFA" w14:textId="459C7CE7" w:rsidR="00775662" w:rsidRDefault="0001108D" w:rsidP="00143A71">
      <w:pPr>
        <w:spacing w:line="276" w:lineRule="auto"/>
        <w:rPr>
          <w:rStyle w:val="st"/>
          <w:rFonts w:asciiTheme="majorHAnsi" w:hAnsiTheme="majorHAnsi"/>
          <w:sz w:val="24"/>
          <w:vertAlign w:val="superscript"/>
        </w:rPr>
      </w:pPr>
      <w:r w:rsidRPr="00143A71">
        <w:rPr>
          <w:rStyle w:val="st"/>
          <w:rFonts w:asciiTheme="majorHAnsi" w:hAnsiTheme="majorHAnsi"/>
          <w:sz w:val="24"/>
        </w:rPr>
        <w:t>“However, these one-time increases in prices are likely to have only transient effects on inflation. The median inflation projection of FOMC participants is 2.4 percent this year and declines to 2 percent next year befo</w:t>
      </w:r>
      <w:r w:rsidRPr="00143A71">
        <w:rPr>
          <w:rStyle w:val="st"/>
          <w:rFonts w:asciiTheme="majorHAnsi" w:hAnsiTheme="majorHAnsi"/>
          <w:sz w:val="24"/>
        </w:rPr>
        <w:t>re moving back up by the end of 2023.”</w:t>
      </w:r>
      <w:r w:rsidRPr="001E7125">
        <w:rPr>
          <w:rStyle w:val="st"/>
          <w:rFonts w:asciiTheme="majorHAnsi" w:hAnsiTheme="majorHAnsi"/>
          <w:sz w:val="24"/>
          <w:vertAlign w:val="superscript"/>
        </w:rPr>
        <w:t>1</w:t>
      </w:r>
      <w:r>
        <w:rPr>
          <w:rStyle w:val="st"/>
          <w:rFonts w:asciiTheme="majorHAnsi" w:hAnsiTheme="majorHAnsi"/>
          <w:sz w:val="24"/>
          <w:vertAlign w:val="superscript"/>
        </w:rPr>
        <w:t>8</w:t>
      </w:r>
    </w:p>
    <w:p w14:paraId="1F7086C2" w14:textId="3AEE75FA" w:rsidR="004F4878" w:rsidRDefault="004F4878" w:rsidP="00143A71">
      <w:pPr>
        <w:spacing w:line="276" w:lineRule="auto"/>
        <w:rPr>
          <w:rStyle w:val="st"/>
          <w:rFonts w:asciiTheme="majorHAnsi" w:hAnsiTheme="majorHAnsi"/>
          <w:sz w:val="24"/>
          <w:vertAlign w:val="superscript"/>
        </w:rPr>
      </w:pPr>
    </w:p>
    <w:p w14:paraId="6930C5D2" w14:textId="0F21E681" w:rsidR="004F4878" w:rsidRDefault="004F4878" w:rsidP="00143A71">
      <w:pPr>
        <w:spacing w:line="276" w:lineRule="auto"/>
        <w:rPr>
          <w:rStyle w:val="st"/>
          <w:rFonts w:asciiTheme="majorHAnsi" w:hAnsiTheme="majorHAnsi"/>
          <w:sz w:val="24"/>
          <w:vertAlign w:val="superscript"/>
        </w:rPr>
      </w:pPr>
    </w:p>
    <w:p w14:paraId="229494D8" w14:textId="391EDBDD" w:rsidR="004F4878" w:rsidRDefault="004F4878" w:rsidP="00143A71">
      <w:pPr>
        <w:spacing w:line="276" w:lineRule="auto"/>
        <w:rPr>
          <w:rStyle w:val="st"/>
          <w:rFonts w:asciiTheme="majorHAnsi" w:hAnsiTheme="majorHAnsi"/>
          <w:sz w:val="24"/>
          <w:vertAlign w:val="superscript"/>
        </w:rPr>
      </w:pPr>
    </w:p>
    <w:p w14:paraId="6FE58C5E" w14:textId="5446DF3E" w:rsidR="004F4878" w:rsidRDefault="004F4878" w:rsidP="00143A71">
      <w:pPr>
        <w:spacing w:line="276" w:lineRule="auto"/>
        <w:rPr>
          <w:rStyle w:val="st"/>
          <w:rFonts w:asciiTheme="majorHAnsi" w:hAnsiTheme="majorHAnsi"/>
          <w:sz w:val="24"/>
          <w:vertAlign w:val="superscript"/>
        </w:rPr>
      </w:pPr>
    </w:p>
    <w:p w14:paraId="3DEF3958" w14:textId="77777777" w:rsidR="004F4878" w:rsidRPr="00EF31D3" w:rsidRDefault="004F4878" w:rsidP="00143A71">
      <w:pPr>
        <w:spacing w:line="276" w:lineRule="auto"/>
        <w:rPr>
          <w:rStyle w:val="st"/>
          <w:rFonts w:asciiTheme="majorHAnsi" w:hAnsiTheme="majorHAnsi"/>
          <w:sz w:val="24"/>
        </w:rPr>
      </w:pPr>
    </w:p>
    <w:tbl>
      <w:tblPr>
        <w:tblW w:w="4943" w:type="pct"/>
        <w:jc w:val="center"/>
        <w:tblLook w:val="04A0" w:firstRow="1" w:lastRow="0" w:firstColumn="1" w:lastColumn="0" w:noHBand="0" w:noVBand="1"/>
      </w:tblPr>
      <w:tblGrid>
        <w:gridCol w:w="3037"/>
        <w:gridCol w:w="3038"/>
        <w:gridCol w:w="3036"/>
      </w:tblGrid>
      <w:tr w:rsidR="00810DB5" w14:paraId="200740F3" w14:textId="77777777" w:rsidTr="00B60BB5">
        <w:trPr>
          <w:trHeight w:val="402"/>
          <w:jc w:val="center"/>
        </w:trPr>
        <w:tc>
          <w:tcPr>
            <w:tcW w:w="1667" w:type="pct"/>
            <w:tcBorders>
              <w:top w:val="nil"/>
              <w:left w:val="nil"/>
              <w:bottom w:val="nil"/>
              <w:right w:val="nil"/>
            </w:tcBorders>
            <w:shd w:val="clear" w:color="auto" w:fill="auto"/>
            <w:vAlign w:val="center"/>
            <w:hideMark/>
          </w:tcPr>
          <w:p w14:paraId="776E93F3" w14:textId="77777777" w:rsidR="00B60BB5" w:rsidRPr="006D5A63" w:rsidRDefault="0001108D" w:rsidP="00B60BB5">
            <w:pPr>
              <w:spacing w:after="0" w:line="276" w:lineRule="auto"/>
              <w:jc w:val="center"/>
              <w:rPr>
                <w:rFonts w:ascii="Calibri Light" w:eastAsia="Times New Roman" w:hAnsi="Calibri Light" w:cs="Times New Roman"/>
                <w:b/>
                <w:bCs/>
                <w:color w:val="F9BC50"/>
                <w:szCs w:val="20"/>
              </w:rPr>
            </w:pPr>
            <w:sdt>
              <w:sdtPr>
                <w:tag w:val="goog_rdk_5"/>
                <w:id w:val="-1089692580"/>
              </w:sdtPr>
              <w:sdtEndPr/>
              <w:sdtContent/>
            </w:sdt>
            <w:r>
              <w:rPr>
                <w:b/>
                <w:color w:val="3E7BB6"/>
              </w:rPr>
              <w:t>MARKET INDEX</w:t>
            </w:r>
          </w:p>
        </w:tc>
        <w:tc>
          <w:tcPr>
            <w:tcW w:w="1667" w:type="pct"/>
            <w:tcBorders>
              <w:top w:val="nil"/>
              <w:left w:val="nil"/>
              <w:bottom w:val="nil"/>
              <w:right w:val="nil"/>
            </w:tcBorders>
            <w:shd w:val="clear" w:color="auto" w:fill="auto"/>
            <w:vAlign w:val="center"/>
            <w:hideMark/>
          </w:tcPr>
          <w:p w14:paraId="682ED47A" w14:textId="77777777" w:rsidR="00B60BB5" w:rsidRPr="006D5A63" w:rsidRDefault="0001108D" w:rsidP="00B60BB5">
            <w:pPr>
              <w:spacing w:after="0" w:line="276" w:lineRule="auto"/>
              <w:jc w:val="center"/>
              <w:rPr>
                <w:rFonts w:ascii="Calibri Light" w:eastAsia="Times New Roman" w:hAnsi="Calibri Light" w:cs="Times New Roman"/>
                <w:b/>
                <w:bCs/>
                <w:color w:val="F9BC50"/>
                <w:szCs w:val="20"/>
              </w:rPr>
            </w:pPr>
            <w:r>
              <w:rPr>
                <w:b/>
                <w:color w:val="3E7BB6"/>
              </w:rPr>
              <w:t>Y-T-D CHANGE</w:t>
            </w:r>
          </w:p>
        </w:tc>
        <w:tc>
          <w:tcPr>
            <w:tcW w:w="1666" w:type="pct"/>
            <w:tcBorders>
              <w:top w:val="nil"/>
              <w:left w:val="nil"/>
              <w:bottom w:val="nil"/>
              <w:right w:val="nil"/>
            </w:tcBorders>
            <w:shd w:val="clear" w:color="auto" w:fill="auto"/>
            <w:vAlign w:val="center"/>
            <w:hideMark/>
          </w:tcPr>
          <w:p w14:paraId="679A2841" w14:textId="77777777" w:rsidR="00B60BB5" w:rsidRPr="006D5A63" w:rsidRDefault="0001108D" w:rsidP="00B60BB5">
            <w:pPr>
              <w:spacing w:after="0" w:line="276" w:lineRule="auto"/>
              <w:jc w:val="center"/>
              <w:rPr>
                <w:rFonts w:ascii="Calibri Light" w:eastAsia="Times New Roman" w:hAnsi="Calibri Light" w:cs="Times New Roman"/>
                <w:b/>
                <w:bCs/>
                <w:color w:val="F9BC50"/>
                <w:szCs w:val="20"/>
              </w:rPr>
            </w:pPr>
            <w:r>
              <w:rPr>
                <w:b/>
                <w:color w:val="3E7BB6"/>
              </w:rPr>
              <w:t>March 2021</w:t>
            </w:r>
          </w:p>
        </w:tc>
      </w:tr>
      <w:tr w:rsidR="00810DB5" w14:paraId="3F24B658" w14:textId="77777777" w:rsidTr="00B60BB5">
        <w:trPr>
          <w:trHeight w:val="402"/>
          <w:jc w:val="center"/>
        </w:trPr>
        <w:tc>
          <w:tcPr>
            <w:tcW w:w="1667"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51535D01" w14:textId="77777777" w:rsidR="00B60BB5" w:rsidRPr="006D5A63" w:rsidRDefault="0001108D" w:rsidP="00B60BB5">
            <w:pPr>
              <w:spacing w:after="0" w:line="276" w:lineRule="auto"/>
              <w:jc w:val="center"/>
              <w:rPr>
                <w:rFonts w:ascii="Calibri Light" w:eastAsia="Times New Roman" w:hAnsi="Calibri Light" w:cs="Times New Roman"/>
                <w:color w:val="000000"/>
                <w:szCs w:val="20"/>
              </w:rPr>
            </w:pPr>
            <w:sdt>
              <w:sdtPr>
                <w:tag w:val="goog_rdk_6"/>
                <w:id w:val="127053967"/>
              </w:sdtPr>
              <w:sdtEndPr/>
              <w:sdtContent/>
            </w:sdt>
            <w:r>
              <w:rPr>
                <w:color w:val="000000"/>
              </w:rPr>
              <w:t>DJIA</w:t>
            </w:r>
          </w:p>
        </w:tc>
        <w:tc>
          <w:tcPr>
            <w:tcW w:w="1667" w:type="pct"/>
            <w:tcBorders>
              <w:top w:val="single" w:sz="4" w:space="0" w:color="A5A5A5"/>
              <w:left w:val="nil"/>
              <w:bottom w:val="single" w:sz="4" w:space="0" w:color="A5A5A5"/>
              <w:right w:val="single" w:sz="4" w:space="0" w:color="A5A5A5"/>
            </w:tcBorders>
            <w:shd w:val="clear" w:color="000000" w:fill="F2F2F2"/>
            <w:vAlign w:val="center"/>
            <w:hideMark/>
          </w:tcPr>
          <w:p w14:paraId="0623C815" w14:textId="77777777" w:rsidR="00B60BB5" w:rsidRPr="00253458" w:rsidRDefault="0001108D" w:rsidP="00B60BB5">
            <w:pPr>
              <w:spacing w:after="0" w:line="276" w:lineRule="auto"/>
              <w:jc w:val="center"/>
              <w:rPr>
                <w:rFonts w:ascii="Calibri Light" w:eastAsia="Times New Roman" w:hAnsi="Calibri Light" w:cs="Times New Roman"/>
                <w:szCs w:val="20"/>
              </w:rPr>
            </w:pPr>
            <w:r>
              <w:t>7</w:t>
            </w:r>
            <w:r w:rsidRPr="002E00AF">
              <w:t>.</w:t>
            </w:r>
            <w:r>
              <w:t>76%</w:t>
            </w:r>
          </w:p>
        </w:tc>
        <w:tc>
          <w:tcPr>
            <w:tcW w:w="1666" w:type="pct"/>
            <w:tcBorders>
              <w:top w:val="single" w:sz="4" w:space="0" w:color="A5A5A5"/>
              <w:left w:val="nil"/>
              <w:bottom w:val="single" w:sz="4" w:space="0" w:color="A5A5A5"/>
              <w:right w:val="single" w:sz="4" w:space="0" w:color="A5A5A5"/>
            </w:tcBorders>
            <w:shd w:val="clear" w:color="000000" w:fill="F2F2F2"/>
            <w:vAlign w:val="center"/>
            <w:hideMark/>
          </w:tcPr>
          <w:p w14:paraId="25BF8381" w14:textId="77777777" w:rsidR="00B60BB5" w:rsidRPr="00253458" w:rsidRDefault="0001108D" w:rsidP="00B60BB5">
            <w:pPr>
              <w:spacing w:after="0" w:line="276" w:lineRule="auto"/>
              <w:jc w:val="center"/>
              <w:rPr>
                <w:rFonts w:ascii="Calibri Light" w:eastAsia="Times New Roman" w:hAnsi="Calibri Light" w:cs="Times New Roman"/>
                <w:szCs w:val="20"/>
              </w:rPr>
            </w:pPr>
            <w:r>
              <w:t>6.62%</w:t>
            </w:r>
          </w:p>
        </w:tc>
      </w:tr>
      <w:tr w:rsidR="00810DB5" w14:paraId="1A98AC02" w14:textId="77777777" w:rsidTr="00B60BB5">
        <w:trPr>
          <w:trHeight w:val="402"/>
          <w:jc w:val="center"/>
        </w:trPr>
        <w:tc>
          <w:tcPr>
            <w:tcW w:w="1667" w:type="pct"/>
            <w:tcBorders>
              <w:top w:val="nil"/>
              <w:left w:val="single" w:sz="4" w:space="0" w:color="A5A5A5"/>
              <w:bottom w:val="single" w:sz="4" w:space="0" w:color="A5A5A5"/>
              <w:right w:val="single" w:sz="4" w:space="0" w:color="A5A5A5"/>
            </w:tcBorders>
            <w:shd w:val="clear" w:color="000000" w:fill="F2F2F2"/>
            <w:vAlign w:val="center"/>
            <w:hideMark/>
          </w:tcPr>
          <w:p w14:paraId="7E741692" w14:textId="77777777" w:rsidR="00B60BB5" w:rsidRPr="006D5A63" w:rsidRDefault="0001108D" w:rsidP="00B60BB5">
            <w:pPr>
              <w:spacing w:after="0" w:line="276" w:lineRule="auto"/>
              <w:jc w:val="center"/>
              <w:rPr>
                <w:rFonts w:ascii="Calibri Light" w:eastAsia="Times New Roman" w:hAnsi="Calibri Light" w:cs="Times New Roman"/>
                <w:color w:val="000000"/>
                <w:szCs w:val="20"/>
              </w:rPr>
            </w:pPr>
            <w:sdt>
              <w:sdtPr>
                <w:tag w:val="goog_rdk_7"/>
                <w:id w:val="-1174564592"/>
              </w:sdtPr>
              <w:sdtEndPr/>
              <w:sdtContent/>
            </w:sdt>
            <w:r>
              <w:rPr>
                <w:color w:val="000000"/>
              </w:rPr>
              <w:t>NASDAQ</w:t>
            </w:r>
          </w:p>
        </w:tc>
        <w:tc>
          <w:tcPr>
            <w:tcW w:w="1667" w:type="pct"/>
            <w:tcBorders>
              <w:top w:val="nil"/>
              <w:left w:val="nil"/>
              <w:bottom w:val="single" w:sz="4" w:space="0" w:color="A5A5A5"/>
              <w:right w:val="single" w:sz="4" w:space="0" w:color="A5A5A5"/>
            </w:tcBorders>
            <w:shd w:val="clear" w:color="000000" w:fill="F2F2F2"/>
            <w:vAlign w:val="center"/>
            <w:hideMark/>
          </w:tcPr>
          <w:p w14:paraId="4692DF9E" w14:textId="77777777" w:rsidR="00B60BB5" w:rsidRPr="00253458" w:rsidRDefault="0001108D" w:rsidP="00B60BB5">
            <w:pPr>
              <w:spacing w:after="0" w:line="276" w:lineRule="auto"/>
              <w:jc w:val="center"/>
              <w:rPr>
                <w:rFonts w:ascii="Calibri Light" w:eastAsia="Times New Roman" w:hAnsi="Calibri Light" w:cs="Times New Roman"/>
                <w:szCs w:val="20"/>
              </w:rPr>
            </w:pPr>
            <w:r w:rsidRPr="00143A71">
              <w:t>2.78</w:t>
            </w:r>
            <w:r>
              <w:t>%</w:t>
            </w:r>
          </w:p>
        </w:tc>
        <w:tc>
          <w:tcPr>
            <w:tcW w:w="1666" w:type="pct"/>
            <w:tcBorders>
              <w:top w:val="nil"/>
              <w:left w:val="nil"/>
              <w:bottom w:val="single" w:sz="4" w:space="0" w:color="A5A5A5"/>
              <w:right w:val="single" w:sz="4" w:space="0" w:color="A5A5A5"/>
            </w:tcBorders>
            <w:shd w:val="clear" w:color="000000" w:fill="F2F2F2"/>
            <w:vAlign w:val="center"/>
            <w:hideMark/>
          </w:tcPr>
          <w:p w14:paraId="0B997E8D" w14:textId="77777777" w:rsidR="00B60BB5" w:rsidRPr="00253458" w:rsidRDefault="0001108D" w:rsidP="00B60BB5">
            <w:pPr>
              <w:spacing w:after="0" w:line="276" w:lineRule="auto"/>
              <w:jc w:val="center"/>
              <w:rPr>
                <w:rFonts w:ascii="Calibri Light" w:eastAsia="Times New Roman" w:hAnsi="Calibri Light" w:cs="Times New Roman"/>
                <w:szCs w:val="20"/>
              </w:rPr>
            </w:pPr>
            <w:r w:rsidRPr="00143A71">
              <w:t>0.41</w:t>
            </w:r>
            <w:r>
              <w:t>%</w:t>
            </w:r>
          </w:p>
        </w:tc>
      </w:tr>
      <w:tr w:rsidR="00810DB5" w14:paraId="302AF613" w14:textId="77777777" w:rsidTr="00B60BB5">
        <w:trPr>
          <w:trHeight w:val="402"/>
          <w:jc w:val="center"/>
        </w:trPr>
        <w:tc>
          <w:tcPr>
            <w:tcW w:w="1667" w:type="pct"/>
            <w:tcBorders>
              <w:top w:val="nil"/>
              <w:left w:val="single" w:sz="4" w:space="0" w:color="A5A5A5"/>
              <w:bottom w:val="single" w:sz="4" w:space="0" w:color="A5A5A5"/>
              <w:right w:val="single" w:sz="4" w:space="0" w:color="A5A5A5"/>
            </w:tcBorders>
            <w:shd w:val="clear" w:color="000000" w:fill="F2F2F2"/>
            <w:vAlign w:val="center"/>
            <w:hideMark/>
          </w:tcPr>
          <w:p w14:paraId="6E0B98D3" w14:textId="77777777" w:rsidR="00B60BB5" w:rsidRPr="006D5A63" w:rsidRDefault="0001108D" w:rsidP="00B60BB5">
            <w:pPr>
              <w:spacing w:after="0" w:line="276" w:lineRule="auto"/>
              <w:jc w:val="center"/>
              <w:rPr>
                <w:rFonts w:ascii="Calibri Light" w:eastAsia="Times New Roman" w:hAnsi="Calibri Light" w:cs="Times New Roman"/>
                <w:color w:val="000000"/>
                <w:szCs w:val="20"/>
              </w:rPr>
            </w:pPr>
            <w:sdt>
              <w:sdtPr>
                <w:tag w:val="goog_rdk_8"/>
                <w:id w:val="-2058466190"/>
              </w:sdtPr>
              <w:sdtEndPr/>
              <w:sdtContent/>
            </w:sdt>
            <w:r>
              <w:rPr>
                <w:color w:val="000000"/>
              </w:rPr>
              <w:t>S&amp;P 500</w:t>
            </w:r>
          </w:p>
        </w:tc>
        <w:tc>
          <w:tcPr>
            <w:tcW w:w="1667" w:type="pct"/>
            <w:tcBorders>
              <w:top w:val="nil"/>
              <w:left w:val="nil"/>
              <w:bottom w:val="single" w:sz="4" w:space="0" w:color="A5A5A5"/>
              <w:right w:val="single" w:sz="4" w:space="0" w:color="A5A5A5"/>
            </w:tcBorders>
            <w:shd w:val="clear" w:color="000000" w:fill="F2F2F2"/>
            <w:vAlign w:val="center"/>
            <w:hideMark/>
          </w:tcPr>
          <w:p w14:paraId="4DF2B729" w14:textId="77777777" w:rsidR="00B60BB5" w:rsidRPr="00253458" w:rsidRDefault="0001108D" w:rsidP="00B60BB5">
            <w:pPr>
              <w:spacing w:after="0" w:line="276" w:lineRule="auto"/>
              <w:jc w:val="center"/>
              <w:rPr>
                <w:rFonts w:ascii="Calibri Light" w:eastAsia="Times New Roman" w:hAnsi="Calibri Light" w:cs="Times New Roman"/>
                <w:szCs w:val="20"/>
              </w:rPr>
            </w:pPr>
            <w:r w:rsidRPr="00143A71">
              <w:t>5.77</w:t>
            </w:r>
            <w:r>
              <w:t>%</w:t>
            </w:r>
          </w:p>
        </w:tc>
        <w:tc>
          <w:tcPr>
            <w:tcW w:w="1666" w:type="pct"/>
            <w:tcBorders>
              <w:top w:val="nil"/>
              <w:left w:val="nil"/>
              <w:bottom w:val="single" w:sz="4" w:space="0" w:color="A5A5A5"/>
              <w:right w:val="single" w:sz="4" w:space="0" w:color="A5A5A5"/>
            </w:tcBorders>
            <w:shd w:val="clear" w:color="000000" w:fill="F2F2F2"/>
            <w:vAlign w:val="center"/>
            <w:hideMark/>
          </w:tcPr>
          <w:p w14:paraId="736977EF" w14:textId="77777777" w:rsidR="00B60BB5" w:rsidRPr="00253458" w:rsidRDefault="0001108D" w:rsidP="00B60BB5">
            <w:pPr>
              <w:spacing w:after="0" w:line="276" w:lineRule="auto"/>
              <w:jc w:val="center"/>
              <w:rPr>
                <w:rFonts w:ascii="Calibri Light" w:eastAsia="Times New Roman" w:hAnsi="Calibri Light" w:cs="Times New Roman"/>
                <w:szCs w:val="20"/>
              </w:rPr>
            </w:pPr>
            <w:r w:rsidRPr="00143A71">
              <w:t>4.24</w:t>
            </w:r>
            <w:r>
              <w:t>%</w:t>
            </w:r>
          </w:p>
        </w:tc>
      </w:tr>
      <w:tr w:rsidR="00810DB5" w14:paraId="6237D271" w14:textId="77777777" w:rsidTr="00B60BB5">
        <w:trPr>
          <w:trHeight w:val="402"/>
          <w:jc w:val="center"/>
        </w:trPr>
        <w:tc>
          <w:tcPr>
            <w:tcW w:w="1667" w:type="pct"/>
            <w:tcBorders>
              <w:top w:val="nil"/>
              <w:left w:val="nil"/>
              <w:bottom w:val="nil"/>
              <w:right w:val="nil"/>
            </w:tcBorders>
            <w:shd w:val="clear" w:color="auto" w:fill="auto"/>
            <w:vAlign w:val="center"/>
            <w:hideMark/>
          </w:tcPr>
          <w:p w14:paraId="7B2F0041" w14:textId="77777777" w:rsidR="00B60BB5" w:rsidRPr="006D5A63" w:rsidRDefault="0001108D" w:rsidP="00B60BB5">
            <w:pPr>
              <w:spacing w:after="0" w:line="276" w:lineRule="auto"/>
              <w:jc w:val="center"/>
              <w:rPr>
                <w:rFonts w:ascii="Calibri Light" w:eastAsia="Times New Roman" w:hAnsi="Calibri Light" w:cs="Times New Roman"/>
                <w:color w:val="000000"/>
                <w:szCs w:val="20"/>
              </w:rPr>
            </w:pPr>
            <w:sdt>
              <w:sdtPr>
                <w:tag w:val="goog_rdk_9"/>
                <w:id w:val="1990594216"/>
              </w:sdtPr>
              <w:sdtEndPr/>
              <w:sdtContent/>
            </w:sdt>
          </w:p>
        </w:tc>
        <w:tc>
          <w:tcPr>
            <w:tcW w:w="1667" w:type="pct"/>
            <w:tcBorders>
              <w:top w:val="nil"/>
              <w:left w:val="nil"/>
              <w:bottom w:val="nil"/>
              <w:right w:val="nil"/>
            </w:tcBorders>
            <w:shd w:val="clear" w:color="auto" w:fill="auto"/>
            <w:vAlign w:val="center"/>
            <w:hideMark/>
          </w:tcPr>
          <w:p w14:paraId="5529B725" w14:textId="77777777" w:rsidR="00B60BB5" w:rsidRPr="006D5A63" w:rsidRDefault="0001108D" w:rsidP="00B60BB5">
            <w:pPr>
              <w:spacing w:after="0" w:line="276" w:lineRule="auto"/>
              <w:jc w:val="center"/>
              <w:rPr>
                <w:rFonts w:ascii="Times New Roman" w:eastAsia="Times New Roman" w:hAnsi="Times New Roman" w:cs="Times New Roman"/>
                <w:szCs w:val="20"/>
              </w:rPr>
            </w:pPr>
          </w:p>
        </w:tc>
        <w:tc>
          <w:tcPr>
            <w:tcW w:w="1666" w:type="pct"/>
            <w:tcBorders>
              <w:top w:val="nil"/>
              <w:left w:val="nil"/>
              <w:bottom w:val="nil"/>
              <w:right w:val="nil"/>
            </w:tcBorders>
            <w:shd w:val="clear" w:color="auto" w:fill="auto"/>
            <w:vAlign w:val="center"/>
            <w:hideMark/>
          </w:tcPr>
          <w:p w14:paraId="3C63F842" w14:textId="77777777" w:rsidR="00B60BB5" w:rsidRPr="006D5A63" w:rsidRDefault="0001108D" w:rsidP="00B60BB5">
            <w:pPr>
              <w:spacing w:after="0" w:line="276" w:lineRule="auto"/>
              <w:jc w:val="center"/>
              <w:rPr>
                <w:rFonts w:ascii="Times New Roman" w:eastAsia="Times New Roman" w:hAnsi="Times New Roman" w:cs="Times New Roman"/>
                <w:szCs w:val="20"/>
              </w:rPr>
            </w:pPr>
          </w:p>
        </w:tc>
      </w:tr>
      <w:tr w:rsidR="00810DB5" w14:paraId="574B19B9" w14:textId="77777777" w:rsidTr="00B60BB5">
        <w:trPr>
          <w:trHeight w:val="402"/>
          <w:jc w:val="center"/>
        </w:trPr>
        <w:tc>
          <w:tcPr>
            <w:tcW w:w="1667" w:type="pct"/>
            <w:tcBorders>
              <w:top w:val="nil"/>
              <w:left w:val="nil"/>
              <w:bottom w:val="nil"/>
              <w:right w:val="nil"/>
            </w:tcBorders>
            <w:shd w:val="clear" w:color="auto" w:fill="auto"/>
            <w:vAlign w:val="center"/>
            <w:hideMark/>
          </w:tcPr>
          <w:p w14:paraId="12912A6C" w14:textId="77777777" w:rsidR="00B60BB5" w:rsidRPr="006D5A63" w:rsidRDefault="0001108D" w:rsidP="00B60BB5">
            <w:pPr>
              <w:spacing w:after="0" w:line="276" w:lineRule="auto"/>
              <w:jc w:val="center"/>
              <w:rPr>
                <w:rFonts w:ascii="Calibri Light" w:eastAsia="Times New Roman" w:hAnsi="Calibri Light" w:cs="Times New Roman"/>
                <w:b/>
                <w:bCs/>
                <w:color w:val="F9BC50"/>
                <w:szCs w:val="20"/>
              </w:rPr>
            </w:pPr>
            <w:sdt>
              <w:sdtPr>
                <w:tag w:val="goog_rdk_10"/>
                <w:id w:val="-1678411629"/>
              </w:sdtPr>
              <w:sdtEndPr/>
              <w:sdtContent/>
            </w:sdt>
            <w:r>
              <w:rPr>
                <w:b/>
                <w:color w:val="3E7BB6"/>
              </w:rPr>
              <w:t>BOND YIELD</w:t>
            </w:r>
          </w:p>
        </w:tc>
        <w:tc>
          <w:tcPr>
            <w:tcW w:w="1667" w:type="pct"/>
            <w:tcBorders>
              <w:top w:val="nil"/>
              <w:left w:val="nil"/>
              <w:bottom w:val="nil"/>
              <w:right w:val="nil"/>
            </w:tcBorders>
            <w:shd w:val="clear" w:color="auto" w:fill="auto"/>
            <w:vAlign w:val="center"/>
            <w:hideMark/>
          </w:tcPr>
          <w:p w14:paraId="66151DE4" w14:textId="77777777" w:rsidR="00B60BB5" w:rsidRPr="006D5A63" w:rsidRDefault="0001108D" w:rsidP="00B60BB5">
            <w:pPr>
              <w:spacing w:after="0" w:line="276" w:lineRule="auto"/>
              <w:jc w:val="center"/>
              <w:rPr>
                <w:rFonts w:ascii="Calibri Light" w:eastAsia="Times New Roman" w:hAnsi="Calibri Light" w:cs="Times New Roman"/>
                <w:b/>
                <w:bCs/>
                <w:color w:val="F9BC50"/>
                <w:szCs w:val="20"/>
              </w:rPr>
            </w:pPr>
            <w:r>
              <w:rPr>
                <w:b/>
                <w:color w:val="3E7BB6"/>
              </w:rPr>
              <w:t>Y-T-D</w:t>
            </w:r>
          </w:p>
        </w:tc>
        <w:tc>
          <w:tcPr>
            <w:tcW w:w="1666" w:type="pct"/>
            <w:tcBorders>
              <w:top w:val="nil"/>
              <w:left w:val="nil"/>
              <w:bottom w:val="nil"/>
              <w:right w:val="nil"/>
            </w:tcBorders>
            <w:shd w:val="clear" w:color="auto" w:fill="auto"/>
            <w:vAlign w:val="center"/>
            <w:hideMark/>
          </w:tcPr>
          <w:p w14:paraId="5328978F" w14:textId="77777777" w:rsidR="00B60BB5" w:rsidRPr="006D5A63" w:rsidRDefault="0001108D" w:rsidP="00B60BB5">
            <w:pPr>
              <w:spacing w:after="0" w:line="276" w:lineRule="auto"/>
              <w:jc w:val="center"/>
              <w:rPr>
                <w:rFonts w:ascii="Calibri Light" w:eastAsia="Times New Roman" w:hAnsi="Calibri Light" w:cs="Times New Roman"/>
                <w:b/>
                <w:bCs/>
                <w:color w:val="F9BC50"/>
                <w:szCs w:val="20"/>
              </w:rPr>
            </w:pPr>
            <w:r>
              <w:rPr>
                <w:b/>
                <w:color w:val="3E7BB6"/>
              </w:rPr>
              <w:t>March 202</w:t>
            </w:r>
            <w:r>
              <w:rPr>
                <w:b/>
                <w:color w:val="3E7BB6"/>
              </w:rPr>
              <w:t>1</w:t>
            </w:r>
          </w:p>
        </w:tc>
      </w:tr>
      <w:tr w:rsidR="00810DB5" w14:paraId="2BE52FF7" w14:textId="77777777" w:rsidTr="00B60BB5">
        <w:trPr>
          <w:trHeight w:val="402"/>
          <w:jc w:val="center"/>
        </w:trPr>
        <w:tc>
          <w:tcPr>
            <w:tcW w:w="1667"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7726A0B3" w14:textId="77777777" w:rsidR="00B60BB5" w:rsidRPr="006942AF" w:rsidRDefault="0001108D" w:rsidP="00B60BB5">
            <w:pPr>
              <w:spacing w:after="0" w:line="276" w:lineRule="auto"/>
              <w:jc w:val="center"/>
              <w:rPr>
                <w:rFonts w:ascii="Calibri Light" w:eastAsia="Times New Roman" w:hAnsi="Calibri Light" w:cs="Times New Roman"/>
                <w:szCs w:val="20"/>
              </w:rPr>
            </w:pPr>
            <w:sdt>
              <w:sdtPr>
                <w:tag w:val="goog_rdk_11"/>
                <w:id w:val="1742901077"/>
              </w:sdtPr>
              <w:sdtEndPr/>
              <w:sdtContent/>
            </w:sdt>
            <w:r>
              <w:t>10 YR TREASURY</w:t>
            </w:r>
          </w:p>
        </w:tc>
        <w:tc>
          <w:tcPr>
            <w:tcW w:w="1667" w:type="pct"/>
            <w:tcBorders>
              <w:top w:val="single" w:sz="4" w:space="0" w:color="A5A5A5"/>
              <w:left w:val="nil"/>
              <w:bottom w:val="single" w:sz="4" w:space="0" w:color="A5A5A5"/>
              <w:right w:val="single" w:sz="4" w:space="0" w:color="A5A5A5"/>
            </w:tcBorders>
            <w:shd w:val="clear" w:color="000000" w:fill="F2F2F2"/>
            <w:vAlign w:val="center"/>
            <w:hideMark/>
          </w:tcPr>
          <w:p w14:paraId="1FEFF2B5" w14:textId="77777777" w:rsidR="00B60BB5" w:rsidRPr="006942AF" w:rsidRDefault="0001108D" w:rsidP="00B60BB5">
            <w:pPr>
              <w:spacing w:after="0" w:line="276" w:lineRule="auto"/>
              <w:jc w:val="center"/>
              <w:rPr>
                <w:rFonts w:ascii="Calibri Light" w:eastAsia="Times New Roman" w:hAnsi="Calibri Light" w:cs="Times New Roman"/>
                <w:szCs w:val="20"/>
              </w:rPr>
            </w:pPr>
            <w:r w:rsidRPr="00143A71">
              <w:t>0.83</w:t>
            </w:r>
            <w:r>
              <w:t>%</w:t>
            </w:r>
          </w:p>
        </w:tc>
        <w:tc>
          <w:tcPr>
            <w:tcW w:w="1666" w:type="pct"/>
            <w:tcBorders>
              <w:top w:val="single" w:sz="4" w:space="0" w:color="A5A5A5"/>
              <w:left w:val="nil"/>
              <w:bottom w:val="single" w:sz="4" w:space="0" w:color="A5A5A5"/>
              <w:right w:val="single" w:sz="4" w:space="0" w:color="A5A5A5"/>
            </w:tcBorders>
            <w:shd w:val="clear" w:color="000000" w:fill="F2F2F2"/>
            <w:vAlign w:val="center"/>
            <w:hideMark/>
          </w:tcPr>
          <w:p w14:paraId="533ED103" w14:textId="77777777" w:rsidR="00B60BB5" w:rsidRPr="006942AF" w:rsidRDefault="0001108D" w:rsidP="00B60BB5">
            <w:pPr>
              <w:spacing w:after="0" w:line="276" w:lineRule="auto"/>
              <w:jc w:val="center"/>
              <w:rPr>
                <w:rFonts w:ascii="Calibri Light" w:eastAsia="Times New Roman" w:hAnsi="Calibri Light" w:cs="Times New Roman"/>
                <w:szCs w:val="20"/>
              </w:rPr>
            </w:pPr>
            <w:r w:rsidRPr="00143A71">
              <w:t>1.75</w:t>
            </w:r>
            <w:r>
              <w:t>%</w:t>
            </w:r>
          </w:p>
        </w:tc>
      </w:tr>
    </w:tbl>
    <w:p w14:paraId="126DE256" w14:textId="77777777" w:rsidR="00775662" w:rsidRPr="002D6595" w:rsidRDefault="0001108D" w:rsidP="00EE6BF2">
      <w:pPr>
        <w:spacing w:line="276" w:lineRule="auto"/>
        <w:rPr>
          <w:rStyle w:val="st"/>
          <w:rFonts w:asciiTheme="majorHAnsi" w:hAnsiTheme="majorHAnsi"/>
          <w:color w:val="767171" w:themeColor="background2" w:themeShade="80"/>
          <w:sz w:val="4"/>
        </w:rPr>
      </w:pPr>
      <w:bookmarkStart w:id="1" w:name="_Hlk533682393"/>
      <w:bookmarkStart w:id="2" w:name="_Hlk2838771"/>
    </w:p>
    <w:bookmarkEnd w:id="1"/>
    <w:p w14:paraId="1C90BB49" w14:textId="77777777" w:rsidR="00775662" w:rsidRPr="006942AF" w:rsidRDefault="0001108D" w:rsidP="00423B96">
      <w:pPr>
        <w:spacing w:line="276" w:lineRule="auto"/>
        <w:rPr>
          <w:rFonts w:asciiTheme="majorHAnsi" w:hAnsiTheme="majorHAnsi"/>
          <w:color w:val="767171" w:themeColor="background2" w:themeShade="80"/>
          <w:sz w:val="18"/>
          <w:szCs w:val="14"/>
        </w:rPr>
      </w:pPr>
      <w:r w:rsidRPr="006942AF">
        <w:rPr>
          <w:rFonts w:asciiTheme="majorHAnsi" w:hAnsiTheme="majorHAnsi"/>
          <w:color w:val="767171" w:themeColor="background2" w:themeShade="80"/>
          <w:sz w:val="18"/>
          <w:szCs w:val="14"/>
        </w:rPr>
        <w:t xml:space="preserve">Sources: </w:t>
      </w:r>
      <w:r w:rsidRPr="00143A71">
        <w:rPr>
          <w:rFonts w:asciiTheme="majorHAnsi" w:hAnsiTheme="majorHAnsi"/>
          <w:color w:val="767171" w:themeColor="background2" w:themeShade="80"/>
          <w:sz w:val="18"/>
          <w:szCs w:val="14"/>
        </w:rPr>
        <w:t>Yahoo Finance, March 31, 2021</w:t>
      </w:r>
    </w:p>
    <w:bookmarkEnd w:id="2"/>
    <w:p w14:paraId="776DA247" w14:textId="77777777" w:rsidR="00775662" w:rsidRPr="006942AF" w:rsidRDefault="0001108D" w:rsidP="00423B96">
      <w:pPr>
        <w:spacing w:line="276" w:lineRule="auto"/>
        <w:rPr>
          <w:rFonts w:asciiTheme="majorHAnsi" w:hAnsiTheme="majorHAnsi" w:cs="Verdana"/>
          <w:iCs/>
          <w:color w:val="767171" w:themeColor="background2" w:themeShade="80"/>
          <w:spacing w:val="-4"/>
          <w:sz w:val="18"/>
          <w:szCs w:val="14"/>
        </w:rPr>
      </w:pPr>
      <w:r w:rsidRPr="00143A71">
        <w:rPr>
          <w:rFonts w:asciiTheme="majorHAnsi" w:hAnsiTheme="majorHAnsi" w:cs="Verdana"/>
          <w:iCs/>
          <w:color w:val="767171" w:themeColor="background2" w:themeShade="80"/>
          <w:spacing w:val="-4"/>
          <w:sz w:val="18"/>
          <w:szCs w:val="14"/>
        </w:rPr>
        <w:t xml:space="preserve">The market indexes discussed are unmanaged and generally considered representative of their respective markets. Individuals cannot directly invest in unmanaged indexes. Past performance does not guarantee future results. U.S. Treasury Notes are guaranteed </w:t>
      </w:r>
      <w:r w:rsidRPr="00143A71">
        <w:rPr>
          <w:rFonts w:asciiTheme="majorHAnsi" w:hAnsiTheme="majorHAnsi" w:cs="Verdana"/>
          <w:iCs/>
          <w:color w:val="767171" w:themeColor="background2" w:themeShade="80"/>
          <w:spacing w:val="-4"/>
          <w:sz w:val="18"/>
          <w:szCs w:val="14"/>
        </w:rPr>
        <w:t>by the federal government as to the timely payment of principal and interest. However, if you sell a Treasury Note prior to maturity, it may be worth more or less than the original price paid</w:t>
      </w:r>
      <w:r>
        <w:rPr>
          <w:rFonts w:asciiTheme="majorHAnsi" w:hAnsiTheme="majorHAnsi" w:cs="Verdana"/>
          <w:iCs/>
          <w:color w:val="767171" w:themeColor="background2" w:themeShade="80"/>
          <w:spacing w:val="-4"/>
          <w:sz w:val="18"/>
          <w:szCs w:val="14"/>
        </w:rPr>
        <w:t>.</w:t>
      </w:r>
    </w:p>
    <w:p w14:paraId="43F777ED" w14:textId="77777777" w:rsidR="006D5A63" w:rsidRDefault="0001108D" w:rsidP="00826679">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0B1E9AA1" wp14:editId="301EC55E">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07C09BF0" w14:textId="77777777" w:rsidR="006D5A63" w:rsidRPr="00DD38C0" w:rsidRDefault="0001108D" w:rsidP="00EE6BF2">
      <w:pPr>
        <w:spacing w:line="276" w:lineRule="auto"/>
        <w:jc w:val="center"/>
        <w:rPr>
          <w:rStyle w:val="st"/>
          <w:rFonts w:asciiTheme="majorHAnsi" w:hAnsiTheme="majorHAnsi"/>
          <w:color w:val="E88E0A"/>
          <w:sz w:val="4"/>
        </w:rPr>
      </w:pPr>
    </w:p>
    <w:p w14:paraId="032AFBB1" w14:textId="77777777" w:rsidR="006D5A63" w:rsidRPr="00CE13AE" w:rsidRDefault="0001108D"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14:paraId="23065CF1" w14:textId="77777777" w:rsidR="006D5A63" w:rsidRPr="00DD38C0" w:rsidRDefault="0001108D" w:rsidP="00EE6BF2">
      <w:pPr>
        <w:spacing w:line="276" w:lineRule="auto"/>
        <w:jc w:val="center"/>
        <w:rPr>
          <w:rStyle w:val="st"/>
          <w:rFonts w:asciiTheme="majorHAnsi" w:hAnsiTheme="majorHAnsi"/>
          <w:sz w:val="4"/>
        </w:rPr>
      </w:pPr>
    </w:p>
    <w:p w14:paraId="46284067" w14:textId="77777777" w:rsidR="006D5A63" w:rsidRDefault="0001108D"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27866770" wp14:editId="6A3B07AE">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9">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14:paraId="113B7867" w14:textId="77777777" w:rsidR="006D5A63" w:rsidRPr="002F292D" w:rsidRDefault="0001108D" w:rsidP="007C4F03">
      <w:pPr>
        <w:spacing w:line="276" w:lineRule="auto"/>
        <w:jc w:val="center"/>
        <w:rPr>
          <w:rStyle w:val="st"/>
          <w:rFonts w:asciiTheme="majorHAnsi" w:hAnsiTheme="majorHAnsi"/>
          <w:i/>
          <w:sz w:val="36"/>
        </w:rPr>
      </w:pPr>
      <w:bookmarkStart w:id="3" w:name="_Hlk533572087"/>
      <w:r w:rsidRPr="007E036D">
        <w:rPr>
          <w:rStyle w:val="st"/>
          <w:rFonts w:asciiTheme="majorHAnsi" w:hAnsiTheme="majorHAnsi"/>
          <w:i/>
          <w:sz w:val="36"/>
        </w:rPr>
        <w:t xml:space="preserve">A rope ladder </w:t>
      </w:r>
      <w:r w:rsidRPr="007E036D">
        <w:rPr>
          <w:rStyle w:val="st"/>
          <w:rFonts w:asciiTheme="majorHAnsi" w:hAnsiTheme="majorHAnsi"/>
          <w:i/>
          <w:sz w:val="36"/>
        </w:rPr>
        <w:t>hangs over the side of a docked ship and dips into the water. The rungs are 15.75"apart, all equally distanced. At low tide, two of the ladder’s rungs are underwater. At high tide, which is exactly 3.5'above low tide, how many rungs will be underwater</w:t>
      </w:r>
      <w:r w:rsidRPr="002F292D">
        <w:rPr>
          <w:rStyle w:val="st"/>
          <w:rFonts w:asciiTheme="majorHAnsi" w:hAnsiTheme="majorHAnsi"/>
          <w:i/>
          <w:sz w:val="36"/>
        </w:rPr>
        <w:t>?</w:t>
      </w:r>
    </w:p>
    <w:bookmarkEnd w:id="3"/>
    <w:p w14:paraId="3186B7BF" w14:textId="77777777" w:rsidR="00237981" w:rsidRPr="00DD38C0" w:rsidRDefault="0001108D" w:rsidP="00EE6BF2">
      <w:pPr>
        <w:spacing w:line="276" w:lineRule="auto"/>
        <w:jc w:val="center"/>
        <w:rPr>
          <w:rStyle w:val="st"/>
          <w:rFonts w:asciiTheme="majorHAnsi" w:hAnsiTheme="majorHAnsi"/>
          <w:i/>
          <w:color w:val="A6A6A6" w:themeColor="background1" w:themeShade="A6"/>
          <w:sz w:val="4"/>
        </w:rPr>
      </w:pPr>
    </w:p>
    <w:p w14:paraId="1843FA4C" w14:textId="77777777" w:rsidR="00237981" w:rsidRPr="00DD38C0" w:rsidRDefault="0001108D"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LA</w:t>
      </w:r>
      <w:r w:rsidRPr="00DD38C0">
        <w:rPr>
          <w:rStyle w:val="st"/>
          <w:rFonts w:asciiTheme="majorHAnsi" w:hAnsiTheme="majorHAnsi"/>
          <w:i/>
          <w:color w:val="646464"/>
        </w:rPr>
        <w:t xml:space="preserve">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7E036D">
        <w:rPr>
          <w:rStyle w:val="st"/>
          <w:rFonts w:asciiTheme="majorHAnsi" w:hAnsiTheme="majorHAnsi"/>
          <w:i/>
          <w:color w:val="646464"/>
        </w:rPr>
        <w:t>Some months have 30 days, others 31. How many have 28</w:t>
      </w:r>
      <w:r w:rsidRPr="001F3044">
        <w:rPr>
          <w:rStyle w:val="st"/>
          <w:rFonts w:asciiTheme="majorHAnsi" w:hAnsiTheme="majorHAnsi"/>
          <w:i/>
          <w:color w:val="646464"/>
        </w:rPr>
        <w:t>?</w:t>
      </w:r>
    </w:p>
    <w:p w14:paraId="02E5FC45" w14:textId="77777777" w:rsidR="00237981" w:rsidRPr="00DD38C0" w:rsidRDefault="0001108D"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bookmarkEnd w:id="0"/>
      <w:r w:rsidRPr="007E036D">
        <w:rPr>
          <w:rStyle w:val="st"/>
          <w:rFonts w:asciiTheme="majorHAnsi" w:hAnsiTheme="majorHAnsi"/>
          <w:i/>
          <w:color w:val="646464"/>
        </w:rPr>
        <w:t>All of them - all months have 28 days or more</w:t>
      </w:r>
      <w:r w:rsidRPr="0006123D">
        <w:rPr>
          <w:rStyle w:val="st"/>
          <w:rFonts w:asciiTheme="majorHAnsi" w:hAnsiTheme="majorHAnsi"/>
          <w:i/>
          <w:color w:val="646464"/>
        </w:rPr>
        <w:t>.</w:t>
      </w:r>
    </w:p>
    <w:p w14:paraId="4C0BA18E" w14:textId="77777777" w:rsidR="00237981" w:rsidRPr="00DD38C0" w:rsidRDefault="0001108D" w:rsidP="00EE6BF2">
      <w:pPr>
        <w:spacing w:line="276" w:lineRule="auto"/>
        <w:jc w:val="center"/>
        <w:rPr>
          <w:rStyle w:val="st"/>
          <w:rFonts w:asciiTheme="majorHAnsi" w:hAnsiTheme="majorHAnsi"/>
          <w:i/>
          <w:color w:val="A6A6A6" w:themeColor="background1" w:themeShade="A6"/>
          <w:sz w:val="4"/>
        </w:rPr>
      </w:pPr>
    </w:p>
    <w:p w14:paraId="7541B128" w14:textId="77777777" w:rsidR="00237981" w:rsidRDefault="0001108D"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75A28FCD" wp14:editId="78739365">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743643F0" w14:textId="77777777" w:rsidR="00237981" w:rsidRPr="00DD38C0" w:rsidRDefault="0001108D" w:rsidP="00EE6BF2">
      <w:pPr>
        <w:spacing w:line="276" w:lineRule="auto"/>
        <w:rPr>
          <w:rFonts w:asciiTheme="majorHAnsi" w:hAnsiTheme="majorHAnsi"/>
          <w:color w:val="A6A6A6" w:themeColor="background1" w:themeShade="A6"/>
          <w:sz w:val="2"/>
          <w:szCs w:val="20"/>
        </w:rPr>
      </w:pPr>
    </w:p>
    <w:p w14:paraId="60D94A7E" w14:textId="73B4C042" w:rsidR="006E3EBF" w:rsidRPr="00425944" w:rsidRDefault="0001108D" w:rsidP="00EE6BF2">
      <w:pPr>
        <w:spacing w:line="276" w:lineRule="auto"/>
        <w:jc w:val="center"/>
        <w:rPr>
          <w:rFonts w:asciiTheme="majorHAnsi" w:hAnsiTheme="majorHAnsi" w:cs="Times New Roman"/>
          <w:sz w:val="2"/>
          <w:szCs w:val="32"/>
        </w:rPr>
      </w:pPr>
      <w:r w:rsidRPr="00237981">
        <w:rPr>
          <w:rFonts w:asciiTheme="majorHAnsi" w:hAnsiTheme="majorHAnsi" w:cs="Times New Roman"/>
          <w:sz w:val="24"/>
          <w:szCs w:val="32"/>
        </w:rPr>
        <w:lastRenderedPageBreak/>
        <w:fldChar w:fldCharType="begin"/>
      </w:r>
      <w:r w:rsidRPr="00237981">
        <w:rPr>
          <w:rFonts w:asciiTheme="majorHAnsi" w:hAnsiTheme="majorHAnsi" w:cs="Times New Roman"/>
          <w:sz w:val="24"/>
          <w:szCs w:val="32"/>
        </w:rPr>
        <w:instrText xml:space="preserve"> MERGEFIELD  representativename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fldChar w:fldCharType="end"/>
      </w:r>
      <w:r w:rsidR="004F4878">
        <w:rPr>
          <w:rFonts w:asciiTheme="majorHAnsi" w:hAnsiTheme="majorHAnsi" w:cs="Times New Roman"/>
          <w:sz w:val="24"/>
          <w:szCs w:val="32"/>
        </w:rPr>
        <w:t xml:space="preserve"> Jason Kleemeier </w:t>
      </w:r>
      <w:r w:rsidRPr="00237981">
        <w:rPr>
          <w:rFonts w:asciiTheme="majorHAnsi" w:hAnsiTheme="majorHAnsi" w:cs="Times New Roman"/>
          <w:sz w:val="24"/>
          <w:szCs w:val="32"/>
        </w:rPr>
        <w:t xml:space="preserve">may be reached at </w:t>
      </w:r>
      <w:r w:rsidR="004F4878">
        <w:rPr>
          <w:rFonts w:asciiTheme="majorHAnsi" w:hAnsiTheme="majorHAnsi" w:cs="Times New Roman"/>
          <w:sz w:val="24"/>
          <w:szCs w:val="32"/>
        </w:rPr>
        <w:t>515-462-4608</w:t>
      </w:r>
      <w:r w:rsidRPr="00237981">
        <w:rPr>
          <w:rFonts w:asciiTheme="majorHAnsi" w:hAnsiTheme="majorHAnsi" w:cs="Times New Roman"/>
          <w:sz w:val="24"/>
          <w:szCs w:val="32"/>
        </w:rPr>
        <w:t xml:space="preserve"> or </w:t>
      </w:r>
      <w:hyperlink r:id="rId10" w:history="1">
        <w:r w:rsidR="004F4878" w:rsidRPr="003D1F34">
          <w:rPr>
            <w:rStyle w:val="Hyperlink"/>
            <w:rFonts w:asciiTheme="majorHAnsi" w:hAnsiTheme="majorHAnsi" w:cs="Times New Roman"/>
            <w:sz w:val="24"/>
            <w:szCs w:val="32"/>
          </w:rPr>
          <w:t>jason@onewealth4me.com</w:t>
        </w:r>
      </w:hyperlink>
      <w:r w:rsidR="004F4878">
        <w:rPr>
          <w:rFonts w:asciiTheme="majorHAnsi" w:hAnsiTheme="majorHAnsi" w:cs="Times New Roman"/>
          <w:sz w:val="24"/>
          <w:szCs w:val="32"/>
        </w:rPr>
        <w:t xml:space="preserve"> or</w:t>
      </w:r>
      <w:r w:rsidRPr="00237981">
        <w:rPr>
          <w:rFonts w:asciiTheme="majorHAnsi" w:hAnsiTheme="majorHAnsi" w:cs="Times New Roman"/>
          <w:sz w:val="24"/>
          <w:szCs w:val="32"/>
        </w:rPr>
        <w:t xml:space="preserve"> </w:t>
      </w:r>
      <w:r>
        <w:rPr>
          <w:rFonts w:asciiTheme="majorHAnsi" w:hAnsiTheme="majorHAnsi" w:cs="Times New Roman"/>
          <w:sz w:val="24"/>
          <w:szCs w:val="32"/>
        </w:rPr>
        <w:br/>
      </w:r>
      <w:r w:rsidR="004F4878">
        <w:rPr>
          <w:rFonts w:asciiTheme="majorHAnsi" w:hAnsiTheme="majorHAnsi" w:cs="Times New Roman"/>
          <w:sz w:val="24"/>
          <w:szCs w:val="32"/>
        </w:rPr>
        <w:t>www.onewealth4me.com</w:t>
      </w:r>
    </w:p>
    <w:p w14:paraId="0B0BAACE" w14:textId="77777777" w:rsidR="00237981" w:rsidRPr="00DD38C0" w:rsidRDefault="0001108D" w:rsidP="00EE6BF2">
      <w:pPr>
        <w:spacing w:line="276" w:lineRule="auto"/>
        <w:jc w:val="center"/>
        <w:rPr>
          <w:rFonts w:asciiTheme="majorHAnsi" w:hAnsiTheme="majorHAnsi" w:cs="Times New Roman"/>
          <w:sz w:val="6"/>
          <w:szCs w:val="32"/>
        </w:rPr>
      </w:pPr>
      <w:proofErr w:type="spellStart"/>
      <w:r w:rsidRPr="006E3EBF">
        <w:rPr>
          <w:rFonts w:asciiTheme="majorHAnsi" w:hAnsiTheme="majorHAnsi" w:cs="Times New Roman"/>
          <w:b/>
          <w:sz w:val="24"/>
          <w:szCs w:val="32"/>
        </w:rPr>
        <w:t>Know</w:t>
      </w:r>
      <w:proofErr w:type="spellEnd"/>
      <w:r w:rsidRPr="006E3EBF">
        <w:rPr>
          <w:rFonts w:asciiTheme="majorHAnsi" w:hAnsiTheme="majorHAnsi" w:cs="Times New Roman"/>
          <w:b/>
          <w:sz w:val="24"/>
          <w:szCs w:val="32"/>
        </w:rPr>
        <w:t xml:space="preserve"> someone who could us</w:t>
      </w:r>
      <w:r w:rsidRPr="006E3EBF">
        <w:rPr>
          <w:rFonts w:asciiTheme="majorHAnsi" w:hAnsiTheme="majorHAnsi" w:cs="Times New Roman"/>
          <w:b/>
          <w:sz w:val="24"/>
          <w:szCs w:val="32"/>
        </w:rPr>
        <w:t xml:space="preserve">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 adding them to our mailing list.)</w:t>
      </w:r>
    </w:p>
    <w:p w14:paraId="59A44AF2" w14:textId="77777777" w:rsidR="00237981" w:rsidRDefault="0001108D"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04EA8780" wp14:editId="345CEC14">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0EDC02E7" w14:textId="77777777" w:rsidR="00EA0505" w:rsidRPr="00DD38C0" w:rsidRDefault="0001108D" w:rsidP="00EE6BF2">
      <w:pPr>
        <w:spacing w:line="276" w:lineRule="auto"/>
        <w:jc w:val="both"/>
        <w:rPr>
          <w:rFonts w:asciiTheme="majorHAnsi" w:hAnsiTheme="majorHAnsi"/>
          <w:color w:val="646464"/>
          <w:sz w:val="2"/>
          <w:szCs w:val="16"/>
        </w:rPr>
      </w:pPr>
    </w:p>
    <w:p w14:paraId="29681B5B" w14:textId="3015C23E" w:rsidR="00237981" w:rsidRPr="004F4878" w:rsidRDefault="004F4878" w:rsidP="00EE6BF2">
      <w:pPr>
        <w:spacing w:line="276" w:lineRule="auto"/>
        <w:jc w:val="both"/>
        <w:rPr>
          <w:rFonts w:asciiTheme="majorHAnsi" w:hAnsiTheme="majorHAnsi" w:cs="Arial"/>
          <w:color w:val="646464"/>
          <w:sz w:val="16"/>
          <w:szCs w:val="16"/>
        </w:rPr>
      </w:pPr>
      <w:r w:rsidRPr="004F4878">
        <w:rPr>
          <w:rFonts w:asciiTheme="majorHAnsi" w:hAnsiTheme="majorHAnsi" w:cs="Arial"/>
          <w:color w:val="646464"/>
          <w:sz w:val="16"/>
          <w:szCs w:val="16"/>
        </w:rPr>
        <w:t>Securities offered through Registered Representatives of Cambridge Investment Research Inc., a broker dealer, member FINRA/SIPC. Advisory services</w:t>
      </w:r>
      <w:r w:rsidR="00553B58">
        <w:rPr>
          <w:rFonts w:asciiTheme="majorHAnsi" w:hAnsiTheme="majorHAnsi" w:cs="Arial"/>
          <w:color w:val="646464"/>
          <w:sz w:val="16"/>
          <w:szCs w:val="16"/>
        </w:rPr>
        <w:t xml:space="preserve"> </w:t>
      </w:r>
      <w:r w:rsidRPr="004F4878">
        <w:rPr>
          <w:rFonts w:asciiTheme="majorHAnsi" w:hAnsiTheme="majorHAnsi" w:cs="Arial"/>
          <w:color w:val="646464"/>
          <w:sz w:val="16"/>
          <w:szCs w:val="16"/>
        </w:rPr>
        <w:t xml:space="preserve">offered through Cambridge Investment Research Advisors Inc., a Registered Investment Adviser. </w:t>
      </w:r>
      <w:proofErr w:type="spellStart"/>
      <w:r w:rsidRPr="004F4878">
        <w:rPr>
          <w:rFonts w:asciiTheme="majorHAnsi" w:hAnsiTheme="majorHAnsi" w:cs="Arial"/>
          <w:color w:val="646464"/>
          <w:sz w:val="16"/>
          <w:szCs w:val="16"/>
        </w:rPr>
        <w:t>OneWealth</w:t>
      </w:r>
      <w:proofErr w:type="spellEnd"/>
      <w:r w:rsidRPr="004F4878">
        <w:rPr>
          <w:rFonts w:asciiTheme="majorHAnsi" w:hAnsiTheme="majorHAnsi" w:cs="Arial"/>
          <w:color w:val="646464"/>
          <w:sz w:val="16"/>
          <w:szCs w:val="16"/>
        </w:rPr>
        <w:t xml:space="preserve"> and Cambridge are not affiliated.</w:t>
      </w:r>
      <w:r w:rsidR="0001108D" w:rsidRPr="004F4878">
        <w:rPr>
          <w:rFonts w:asciiTheme="majorHAnsi" w:hAnsiTheme="majorHAnsi" w:cs="Arial"/>
          <w:color w:val="646464"/>
          <w:sz w:val="16"/>
          <w:szCs w:val="16"/>
        </w:rPr>
        <w:fldChar w:fldCharType="begin"/>
      </w:r>
      <w:r w:rsidR="0001108D" w:rsidRPr="004F4878">
        <w:rPr>
          <w:rFonts w:asciiTheme="majorHAnsi" w:hAnsiTheme="majorHAnsi" w:cs="Arial"/>
          <w:color w:val="646464"/>
          <w:sz w:val="16"/>
          <w:szCs w:val="16"/>
        </w:rPr>
        <w:instrText xml:space="preserve"> MERGEFIELD  RepresentativeEmailDisclosure  \* MERGEFORMAT </w:instrText>
      </w:r>
      <w:r w:rsidR="0001108D" w:rsidRPr="004F4878">
        <w:rPr>
          <w:rFonts w:asciiTheme="majorHAnsi" w:hAnsiTheme="majorHAnsi" w:cs="Arial"/>
          <w:color w:val="646464"/>
          <w:sz w:val="16"/>
          <w:szCs w:val="16"/>
        </w:rPr>
        <w:fldChar w:fldCharType="separate"/>
      </w:r>
      <w:r w:rsidR="0001108D" w:rsidRPr="004F4878">
        <w:rPr>
          <w:rFonts w:asciiTheme="majorHAnsi" w:hAnsiTheme="majorHAnsi" w:cs="Arial"/>
          <w:color w:val="646464"/>
          <w:sz w:val="16"/>
          <w:szCs w:val="16"/>
        </w:rPr>
        <w:fldChar w:fldCharType="end"/>
      </w:r>
    </w:p>
    <w:p w14:paraId="19EE37D2" w14:textId="77777777" w:rsidR="00237981" w:rsidRPr="00DD38C0" w:rsidRDefault="0001108D" w:rsidP="00EE6BF2">
      <w:pPr>
        <w:widowControl w:val="0"/>
        <w:autoSpaceDE w:val="0"/>
        <w:autoSpaceDN w:val="0"/>
        <w:adjustRightInd w:val="0"/>
        <w:spacing w:line="276" w:lineRule="auto"/>
        <w:jc w:val="both"/>
        <w:rPr>
          <w:rFonts w:asciiTheme="majorHAnsi" w:hAnsiTheme="majorHAnsi"/>
          <w:color w:val="646464"/>
          <w:sz w:val="16"/>
          <w:szCs w:val="16"/>
        </w:rPr>
      </w:pPr>
      <w:r w:rsidRPr="00455DFE">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w:t>
      </w:r>
      <w:r w:rsidRPr="00455DFE">
        <w:rPr>
          <w:rFonts w:asciiTheme="majorHAnsi" w:hAnsiTheme="majorHAnsi" w:cs="Arial"/>
          <w:color w:val="646464"/>
          <w:sz w:val="16"/>
          <w:szCs w:val="16"/>
        </w:rPr>
        <w:t xml:space="preserve">lease note - investing involves risk, and past performance is no guarantee of future results. Investments will fluctuate and when redeemed may be worth more or less than when originally invested. This information should not be construed as investment, tax </w:t>
      </w:r>
      <w:r w:rsidRPr="00455DFE">
        <w:rPr>
          <w:rFonts w:asciiTheme="majorHAnsi" w:hAnsiTheme="majorHAnsi" w:cs="Arial"/>
          <w:color w:val="646464"/>
          <w:sz w:val="16"/>
          <w:szCs w:val="16"/>
        </w:rPr>
        <w:t>or legal advice and may not be relied on for the purpose of avoiding any Federal tax penalty. This is neither a solicitation nor recommendation to purchase or sell any investment or insurance product or service, and should not be relied upon as such. All m</w:t>
      </w:r>
      <w:r w:rsidRPr="00455DFE">
        <w:rPr>
          <w:rFonts w:asciiTheme="majorHAnsi" w:hAnsiTheme="majorHAnsi" w:cs="Arial"/>
          <w:color w:val="646464"/>
          <w:sz w:val="16"/>
          <w:szCs w:val="16"/>
        </w:rPr>
        <w:t>arket indices discussed are unmanaged and are not illustrative of any particular investment. Indices do not incur management fees, costs, or expenses. Investors cannot invest directly in indices. All economic and performance data is historical and not indi</w:t>
      </w:r>
      <w:r w:rsidRPr="00455DFE">
        <w:rPr>
          <w:rFonts w:asciiTheme="majorHAnsi" w:hAnsiTheme="majorHAnsi" w:cs="Arial"/>
          <w:color w:val="646464"/>
          <w:sz w:val="16"/>
          <w:szCs w:val="16"/>
        </w:rPr>
        <w:t>cative of future results. The Dow Jones Industrial Average is a price-weighted index of 30 actively traded blue-chip stocks. The NASDAQ Composite Index is a market-weighted index of all over-the-counter common stocks traded on the National Association of S</w:t>
      </w:r>
      <w:r w:rsidRPr="00455DFE">
        <w:rPr>
          <w:rFonts w:asciiTheme="majorHAnsi" w:hAnsiTheme="majorHAnsi" w:cs="Arial"/>
          <w:color w:val="646464"/>
          <w:sz w:val="16"/>
          <w:szCs w:val="16"/>
        </w:rPr>
        <w:t>ecurities Dealers Automated Quotation System. The Standard &amp; Poor's 500 (S&amp;P 500) is a market-cap weighted index composed of the common stocks of 500 leading companies in leading industries of the U.S. economy. The Russell 2000 Index measures the performan</w:t>
      </w:r>
      <w:r w:rsidRPr="00455DFE">
        <w:rPr>
          <w:rFonts w:asciiTheme="majorHAnsi" w:hAnsiTheme="majorHAnsi" w:cs="Arial"/>
          <w:color w:val="646464"/>
          <w:sz w:val="16"/>
          <w:szCs w:val="16"/>
        </w:rPr>
        <w:t>ce of the small-cap segment of the U.S. equity universe. The CBOE Volatility Index® (VIX®) is a key measure of market expectations of near-term volatility conveyed by S&amp;P 500 stock index option prices. NYSE Group, Inc. (NYSE:NYX) operates two securities ex</w:t>
      </w:r>
      <w:r w:rsidRPr="00455DFE">
        <w:rPr>
          <w:rFonts w:asciiTheme="majorHAnsi" w:hAnsiTheme="majorHAnsi" w:cs="Arial"/>
          <w:color w:val="646464"/>
          <w:sz w:val="16"/>
          <w:szCs w:val="16"/>
        </w:rPr>
        <w:t>changes: the New York Stock Exchange (the “NYSE”) and NYSE Arca (formerly known as the Archipelago Exchange, or ArcaEx®, and the Pacific Exchange). NYSE Group is a leading provider of securities listing, trading and market data products and services. The N</w:t>
      </w:r>
      <w:r w:rsidRPr="00455DFE">
        <w:rPr>
          <w:rFonts w:asciiTheme="majorHAnsi" w:hAnsiTheme="majorHAnsi" w:cs="Arial"/>
          <w:color w:val="646464"/>
          <w:sz w:val="16"/>
          <w:szCs w:val="16"/>
        </w:rPr>
        <w:t>ew York Mercantile Exchange, Inc. (NYMEX) is the world's largest physical commodity futures exchange and the preeminent trading forum for energy and precious metals, with trading conducted through two divisions – the NYMEX Division, home to the energy, pla</w:t>
      </w:r>
      <w:r w:rsidRPr="00455DFE">
        <w:rPr>
          <w:rFonts w:asciiTheme="majorHAnsi" w:hAnsiTheme="majorHAnsi" w:cs="Arial"/>
          <w:color w:val="646464"/>
          <w:sz w:val="16"/>
          <w:szCs w:val="16"/>
        </w:rPr>
        <w:t>tinum, and palladium markets, and the COMEX Division, on which all other metals trade. The SSE Composite Index is an index of all stocks (A shares and B shares) that are traded at the Shanghai Stock Exchange. The CAC-40 Index is a narrow-based, modified ca</w:t>
      </w:r>
      <w:r w:rsidRPr="00455DFE">
        <w:rPr>
          <w:rFonts w:asciiTheme="majorHAnsi" w:hAnsiTheme="majorHAnsi" w:cs="Arial"/>
          <w:color w:val="646464"/>
          <w:sz w:val="16"/>
          <w:szCs w:val="16"/>
        </w:rPr>
        <w:t>pitalization-weighted index of 40 companies listed on the Paris Bourse. The FTSEurofirst 300 Index comprises the 300 largest companies ranked by market capitalization in the FTSE Developed Europe Index. The FTSE 100 Index is a share index of the 100 compan</w:t>
      </w:r>
      <w:r w:rsidRPr="00455DFE">
        <w:rPr>
          <w:rFonts w:asciiTheme="majorHAnsi" w:hAnsiTheme="majorHAnsi" w:cs="Arial"/>
          <w:color w:val="646464"/>
          <w:sz w:val="16"/>
          <w:szCs w:val="16"/>
        </w:rPr>
        <w:t>ies listed on the London Stock Exchange with the highest market capitalization. Established in January 1980, the All Ordinaries is the oldest index of shares in Australia. It is made up of the share prices for 500 of the largest companies listed on the Aus</w:t>
      </w:r>
      <w:r w:rsidRPr="00455DFE">
        <w:rPr>
          <w:rFonts w:asciiTheme="majorHAnsi" w:hAnsiTheme="majorHAnsi" w:cs="Arial"/>
          <w:color w:val="646464"/>
          <w:sz w:val="16"/>
          <w:szCs w:val="16"/>
        </w:rPr>
        <w:t>tralian Securities Exchange. The S&amp;P/TSX Composite Index is an index of the stock (equity) prices of the largest companies on the Toronto Stock Exchange (TSX) as measured by market capitalization. The Hang Seng Index is a free float-adjusted market capital</w:t>
      </w:r>
      <w:r w:rsidRPr="00455DFE">
        <w:rPr>
          <w:rFonts w:asciiTheme="majorHAnsi" w:hAnsiTheme="majorHAnsi" w:cs="Arial"/>
          <w:color w:val="646464"/>
          <w:sz w:val="16"/>
          <w:szCs w:val="16"/>
        </w:rPr>
        <w:t xml:space="preserve">ization-weighted stock market index that is the main indicator of the overall market performance in Hong Kong. The FTSE TWSE Taiwan 50 Index is a capitalization-weighted index of stocks comprising 50 companies listed on the Taiwan Stock Exchange developed </w:t>
      </w:r>
      <w:r w:rsidRPr="00455DFE">
        <w:rPr>
          <w:rFonts w:asciiTheme="majorHAnsi" w:hAnsiTheme="majorHAnsi" w:cs="Arial"/>
          <w:color w:val="646464"/>
          <w:sz w:val="16"/>
          <w:szCs w:val="16"/>
        </w:rPr>
        <w:t>by Taiwan Stock Exchange in collaboration with FTSE. The MSCI World Index is a free-float weighted equity index that includes developed world markets and does not include emerging markets. The Mexican Stock Exchange, commonly known as Mexican Bolsa, Mexbol</w:t>
      </w:r>
      <w:r w:rsidRPr="00455DFE">
        <w:rPr>
          <w:rFonts w:asciiTheme="majorHAnsi" w:hAnsiTheme="majorHAnsi" w:cs="Arial"/>
          <w:color w:val="646464"/>
          <w:sz w:val="16"/>
          <w:szCs w:val="16"/>
        </w:rPr>
        <w:t>, or BMV, is the only stock exchange in Mexico. The U.S. Dollar Index measures the performance of the U.S. dollar against a basket of six currencies. Additional risks are associated with international investing, such as currency fluctuations, political and</w:t>
      </w:r>
      <w:r w:rsidRPr="00455DFE">
        <w:rPr>
          <w:rFonts w:asciiTheme="majorHAnsi" w:hAnsiTheme="majorHAnsi" w:cs="Arial"/>
          <w:color w:val="646464"/>
          <w:sz w:val="16"/>
          <w:szCs w:val="16"/>
        </w:rPr>
        <w:t xml:space="preserve"> economic instability, and differences in accounting standards. This material represents an assessment of the market environment at a specific point in time and is not intended to be a forecast of future events or a guarantee of future results. MarketingPr</w:t>
      </w:r>
      <w:r w:rsidRPr="00455DFE">
        <w:rPr>
          <w:rFonts w:asciiTheme="majorHAnsi" w:hAnsiTheme="majorHAnsi" w:cs="Arial"/>
          <w:color w:val="646464"/>
          <w:sz w:val="16"/>
          <w:szCs w:val="16"/>
        </w:rPr>
        <w:t>o, Inc. is not affiliated with any person or firm that may be providing this information to you. The publisher is not engaged in rendering legal, accounting, or other professional services. If assistance is needed, the reader is advised to engage the servi</w:t>
      </w:r>
      <w:r w:rsidRPr="00455DFE">
        <w:rPr>
          <w:rFonts w:asciiTheme="majorHAnsi" w:hAnsiTheme="majorHAnsi" w:cs="Arial"/>
          <w:color w:val="646464"/>
          <w:sz w:val="16"/>
          <w:szCs w:val="16"/>
        </w:rPr>
        <w:t>ces of a competent professional</w:t>
      </w:r>
      <w:r w:rsidRPr="00DD38C0">
        <w:rPr>
          <w:rFonts w:asciiTheme="majorHAnsi" w:hAnsiTheme="majorHAnsi"/>
          <w:color w:val="646464"/>
          <w:sz w:val="16"/>
          <w:szCs w:val="16"/>
        </w:rPr>
        <w:t>.</w:t>
      </w:r>
    </w:p>
    <w:p w14:paraId="62E02AE2" w14:textId="77777777" w:rsidR="00237981" w:rsidRPr="00DD38C0" w:rsidRDefault="0001108D"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14:paraId="4CDA17C3"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1. The Wall Street Journal, March 31, 2021</w:t>
      </w:r>
    </w:p>
    <w:p w14:paraId="65CE70C0"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2. CNBC.com, March 11, 2021</w:t>
      </w:r>
    </w:p>
    <w:p w14:paraId="3BC85895"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3. FederalReserve.gov, March 17, 2021</w:t>
      </w:r>
    </w:p>
    <w:p w14:paraId="0FFB1603"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4. FactSet Research, March 31, 2021</w:t>
      </w:r>
    </w:p>
    <w:p w14:paraId="2E882850"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5. MSCI.com, March 31, 2021</w:t>
      </w:r>
    </w:p>
    <w:p w14:paraId="387F59E2"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6. MSCI.com, March 31, 2021</w:t>
      </w:r>
    </w:p>
    <w:p w14:paraId="08A7FE42"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7. MSCI.com</w:t>
      </w:r>
      <w:r w:rsidRPr="007E036D">
        <w:rPr>
          <w:rFonts w:asciiTheme="majorHAnsi" w:hAnsiTheme="majorHAnsi" w:cstheme="majorHAnsi"/>
          <w:color w:val="808080" w:themeColor="background1" w:themeShade="80"/>
          <w:sz w:val="16"/>
          <w:szCs w:val="16"/>
        </w:rPr>
        <w:t>, March 31, 2021</w:t>
      </w:r>
    </w:p>
    <w:p w14:paraId="2FD1E492"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8. CNBC.com, March 25, 2021</w:t>
      </w:r>
    </w:p>
    <w:p w14:paraId="223A9087"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lastRenderedPageBreak/>
        <w:t>9. The Wall Street Journal, March 5, 2021</w:t>
      </w:r>
    </w:p>
    <w:p w14:paraId="3BC75C91"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10. The Wall Street Journal, March 16, 2021</w:t>
      </w:r>
    </w:p>
    <w:p w14:paraId="6A36F220"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11. Bloomberg.com, March 16, 2021</w:t>
      </w:r>
    </w:p>
    <w:p w14:paraId="58F3B274"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12. CNBC.com, March 17, 2021</w:t>
      </w:r>
    </w:p>
    <w:p w14:paraId="1811FD83"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13. CNBC.com, March 22, 2021</w:t>
      </w:r>
    </w:p>
    <w:p w14:paraId="05373740"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 xml:space="preserve">14. APnews.com, March 23, </w:t>
      </w:r>
      <w:r w:rsidRPr="007E036D">
        <w:rPr>
          <w:rFonts w:asciiTheme="majorHAnsi" w:hAnsiTheme="majorHAnsi" w:cstheme="majorHAnsi"/>
          <w:color w:val="808080" w:themeColor="background1" w:themeShade="80"/>
          <w:sz w:val="16"/>
          <w:szCs w:val="16"/>
        </w:rPr>
        <w:t>2021</w:t>
      </w:r>
    </w:p>
    <w:p w14:paraId="324F4F9E"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15. The Wall Street Journal, March 10, 2021</w:t>
      </w:r>
    </w:p>
    <w:p w14:paraId="27AE312C"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16. The Wall Street Journal, March 24, 2021</w:t>
      </w:r>
    </w:p>
    <w:p w14:paraId="60A1377B" w14:textId="77777777" w:rsidR="007E036D" w:rsidRPr="007E036D"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17. Reuters.com, March 17, 2021</w:t>
      </w:r>
    </w:p>
    <w:p w14:paraId="23DA4300" w14:textId="77777777" w:rsidR="008E168C" w:rsidRPr="00410159" w:rsidRDefault="0001108D" w:rsidP="007E036D">
      <w:pPr>
        <w:spacing w:after="0" w:line="240" w:lineRule="auto"/>
        <w:rPr>
          <w:rFonts w:asciiTheme="majorHAnsi" w:hAnsiTheme="majorHAnsi" w:cstheme="majorHAnsi"/>
          <w:color w:val="808080" w:themeColor="background1" w:themeShade="80"/>
          <w:sz w:val="16"/>
          <w:szCs w:val="16"/>
        </w:rPr>
      </w:pPr>
      <w:r w:rsidRPr="007E036D">
        <w:rPr>
          <w:rFonts w:asciiTheme="majorHAnsi" w:hAnsiTheme="majorHAnsi" w:cstheme="majorHAnsi"/>
          <w:color w:val="808080" w:themeColor="background1" w:themeShade="80"/>
          <w:sz w:val="16"/>
          <w:szCs w:val="16"/>
        </w:rPr>
        <w:t>18. Federalreserve.gov, March 17, 2021</w:t>
      </w:r>
    </w:p>
    <w:sectPr w:rsidR="008E168C" w:rsidRPr="00410159"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64EF1"/>
    <w:multiLevelType w:val="hybridMultilevel"/>
    <w:tmpl w:val="52807AE8"/>
    <w:lvl w:ilvl="0" w:tplc="9348D3CC">
      <w:start w:val="1"/>
      <w:numFmt w:val="bullet"/>
      <w:lvlText w:val=""/>
      <w:lvlJc w:val="left"/>
      <w:pPr>
        <w:ind w:left="720" w:hanging="360"/>
      </w:pPr>
      <w:rPr>
        <w:rFonts w:ascii="Symbol" w:hAnsi="Symbol" w:hint="default"/>
      </w:rPr>
    </w:lvl>
    <w:lvl w:ilvl="1" w:tplc="CEAAFFA6" w:tentative="1">
      <w:start w:val="1"/>
      <w:numFmt w:val="bullet"/>
      <w:lvlText w:val="o"/>
      <w:lvlJc w:val="left"/>
      <w:pPr>
        <w:ind w:left="1440" w:hanging="360"/>
      </w:pPr>
      <w:rPr>
        <w:rFonts w:ascii="Courier New" w:hAnsi="Courier New" w:cs="Courier New" w:hint="default"/>
      </w:rPr>
    </w:lvl>
    <w:lvl w:ilvl="2" w:tplc="1294FC82" w:tentative="1">
      <w:start w:val="1"/>
      <w:numFmt w:val="bullet"/>
      <w:lvlText w:val=""/>
      <w:lvlJc w:val="left"/>
      <w:pPr>
        <w:ind w:left="2160" w:hanging="360"/>
      </w:pPr>
      <w:rPr>
        <w:rFonts w:ascii="Wingdings" w:hAnsi="Wingdings" w:hint="default"/>
      </w:rPr>
    </w:lvl>
    <w:lvl w:ilvl="3" w:tplc="8BD28062" w:tentative="1">
      <w:start w:val="1"/>
      <w:numFmt w:val="bullet"/>
      <w:lvlText w:val=""/>
      <w:lvlJc w:val="left"/>
      <w:pPr>
        <w:ind w:left="2880" w:hanging="360"/>
      </w:pPr>
      <w:rPr>
        <w:rFonts w:ascii="Symbol" w:hAnsi="Symbol" w:hint="default"/>
      </w:rPr>
    </w:lvl>
    <w:lvl w:ilvl="4" w:tplc="B5F03F94" w:tentative="1">
      <w:start w:val="1"/>
      <w:numFmt w:val="bullet"/>
      <w:lvlText w:val="o"/>
      <w:lvlJc w:val="left"/>
      <w:pPr>
        <w:ind w:left="3600" w:hanging="360"/>
      </w:pPr>
      <w:rPr>
        <w:rFonts w:ascii="Courier New" w:hAnsi="Courier New" w:cs="Courier New" w:hint="default"/>
      </w:rPr>
    </w:lvl>
    <w:lvl w:ilvl="5" w:tplc="8EC48C48" w:tentative="1">
      <w:start w:val="1"/>
      <w:numFmt w:val="bullet"/>
      <w:lvlText w:val=""/>
      <w:lvlJc w:val="left"/>
      <w:pPr>
        <w:ind w:left="4320" w:hanging="360"/>
      </w:pPr>
      <w:rPr>
        <w:rFonts w:ascii="Wingdings" w:hAnsi="Wingdings" w:hint="default"/>
      </w:rPr>
    </w:lvl>
    <w:lvl w:ilvl="6" w:tplc="26C808C4" w:tentative="1">
      <w:start w:val="1"/>
      <w:numFmt w:val="bullet"/>
      <w:lvlText w:val=""/>
      <w:lvlJc w:val="left"/>
      <w:pPr>
        <w:ind w:left="5040" w:hanging="360"/>
      </w:pPr>
      <w:rPr>
        <w:rFonts w:ascii="Symbol" w:hAnsi="Symbol" w:hint="default"/>
      </w:rPr>
    </w:lvl>
    <w:lvl w:ilvl="7" w:tplc="B2E0D56C" w:tentative="1">
      <w:start w:val="1"/>
      <w:numFmt w:val="bullet"/>
      <w:lvlText w:val="o"/>
      <w:lvlJc w:val="left"/>
      <w:pPr>
        <w:ind w:left="5760" w:hanging="360"/>
      </w:pPr>
      <w:rPr>
        <w:rFonts w:ascii="Courier New" w:hAnsi="Courier New" w:cs="Courier New" w:hint="default"/>
      </w:rPr>
    </w:lvl>
    <w:lvl w:ilvl="8" w:tplc="404876D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B5"/>
    <w:rsid w:val="0001108D"/>
    <w:rsid w:val="001468D1"/>
    <w:rsid w:val="00164E63"/>
    <w:rsid w:val="004F4878"/>
    <w:rsid w:val="00553B58"/>
    <w:rsid w:val="0081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387A"/>
  <w15:docId w15:val="{5C16C944-0BC6-4203-8107-83558594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character" w:styleId="Hyperlink">
    <w:name w:val="Hyperlink"/>
    <w:basedOn w:val="DefaultParagraphFont"/>
    <w:uiPriority w:val="99"/>
    <w:unhideWhenUsed/>
    <w:rsid w:val="004F4878"/>
    <w:rPr>
      <w:color w:val="0563C1" w:themeColor="hyperlink"/>
      <w:u w:val="single"/>
    </w:rPr>
  </w:style>
  <w:style w:type="character" w:styleId="UnresolvedMention">
    <w:name w:val="Unresolved Mention"/>
    <w:basedOn w:val="DefaultParagraphFont"/>
    <w:uiPriority w:val="99"/>
    <w:rsid w:val="004F4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son@onewealth4me.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313F-EE17-42DE-A220-46B3619A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Jason Kleemeier</cp:lastModifiedBy>
  <cp:revision>5</cp:revision>
  <dcterms:created xsi:type="dcterms:W3CDTF">2021-04-09T16:45:00Z</dcterms:created>
  <dcterms:modified xsi:type="dcterms:W3CDTF">2021-04-09T16:53:00Z</dcterms:modified>
</cp:coreProperties>
</file>