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EFE56" w14:textId="77777777" w:rsidR="00B76A8A" w:rsidRPr="00F111A0" w:rsidRDefault="008D1707" w:rsidP="00B76A8A">
      <w:pPr>
        <w:spacing w:before="160" w:line="240" w:lineRule="auto"/>
        <w:jc w:val="center"/>
        <w:rPr>
          <w:rFonts w:asciiTheme="majorHAnsi" w:hAnsiTheme="majorHAnsi" w:cs="Times New Roman"/>
          <w:i/>
          <w:sz w:val="28"/>
          <w:szCs w:val="24"/>
        </w:rPr>
      </w:pPr>
      <w:bookmarkStart w:id="0" w:name="_Hlk2586686"/>
      <w:r w:rsidRPr="00F111A0">
        <w:rPr>
          <w:rFonts w:asciiTheme="majorHAnsi" w:hAnsiTheme="majorHAnsi" w:cs="Times New Roman"/>
          <w:i/>
          <w:sz w:val="28"/>
          <w:szCs w:val="24"/>
        </w:rPr>
        <w:t xml:space="preserve">In this month’s </w:t>
      </w:r>
      <w:r w:rsidRPr="00B46303">
        <w:rPr>
          <w:rFonts w:asciiTheme="majorHAnsi" w:hAnsiTheme="majorHAnsi" w:cs="Times New Roman"/>
          <w:i/>
          <w:sz w:val="28"/>
          <w:szCs w:val="24"/>
        </w:rPr>
        <w:t xml:space="preserve">recap: </w:t>
      </w:r>
      <w:r w:rsidRPr="0009142F">
        <w:rPr>
          <w:rFonts w:asciiTheme="majorHAnsi" w:hAnsiTheme="majorHAnsi" w:cs="Times New Roman"/>
          <w:i/>
          <w:sz w:val="28"/>
          <w:szCs w:val="24"/>
        </w:rPr>
        <w:t>Stocks moved higher as investors looked past accelerating inflation and the Fed’s pivot on monetary policy</w:t>
      </w:r>
      <w:r w:rsidRPr="00B60BB5">
        <w:rPr>
          <w:rFonts w:asciiTheme="majorHAnsi" w:hAnsiTheme="majorHAnsi" w:cs="Times New Roman"/>
          <w:i/>
          <w:sz w:val="28"/>
          <w:szCs w:val="24"/>
        </w:rPr>
        <w:t>.</w:t>
      </w:r>
    </w:p>
    <w:p w14:paraId="062FEF14" w14:textId="77777777" w:rsidR="00F82321" w:rsidRPr="00A56786" w:rsidRDefault="008D1707" w:rsidP="00B76A8A">
      <w:pPr>
        <w:spacing w:before="160" w:line="276" w:lineRule="auto"/>
        <w:jc w:val="center"/>
        <w:rPr>
          <w:rFonts w:asciiTheme="majorHAnsi" w:hAnsiTheme="majorHAnsi" w:cs="Times New Roman"/>
          <w:b/>
          <w:color w:val="000000" w:themeColor="text1"/>
          <w:sz w:val="72"/>
          <w:szCs w:val="24"/>
        </w:rPr>
      </w:pPr>
      <w:r>
        <w:rPr>
          <w:rFonts w:asciiTheme="majorHAnsi" w:hAnsiTheme="majorHAnsi"/>
          <w:b/>
          <w:noProof/>
          <w:sz w:val="72"/>
        </w:rPr>
        <w:t>Monthly</w:t>
      </w:r>
      <w:r w:rsidRPr="00A56786">
        <w:rPr>
          <w:rFonts w:asciiTheme="majorHAnsi" w:hAnsiTheme="majorHAnsi"/>
          <w:b/>
          <w:noProof/>
          <w:sz w:val="72"/>
        </w:rPr>
        <w:t xml:space="preserve"> Economic Update</w:t>
      </w:r>
    </w:p>
    <w:p w14:paraId="77F390D4" w14:textId="77777777" w:rsidR="00B2579B" w:rsidRDefault="008D1707" w:rsidP="00EE6BF2">
      <w:pPr>
        <w:spacing w:before="160" w:line="276" w:lineRule="auto"/>
        <w:jc w:val="center"/>
        <w:rPr>
          <w:rFonts w:asciiTheme="majorHAnsi" w:hAnsiTheme="majorHAnsi" w:cs="Times New Roman"/>
          <w:i/>
          <w:color w:val="376B8D"/>
          <w:sz w:val="28"/>
          <w:szCs w:val="24"/>
        </w:rPr>
      </w:pPr>
      <w:r w:rsidRPr="001D1391">
        <w:rPr>
          <w:rFonts w:asciiTheme="majorHAnsi" w:hAnsiTheme="majorHAnsi"/>
          <w:noProof/>
          <w:sz w:val="10"/>
          <w:vertAlign w:val="subscript"/>
        </w:rPr>
        <w:drawing>
          <wp:inline distT="0" distB="0" distL="0" distR="0" wp14:anchorId="3EFBF65C" wp14:editId="6326FCEA">
            <wp:extent cx="5825083"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608088E" w14:textId="77777777" w:rsidR="00A56786" w:rsidRPr="00DD38C0" w:rsidRDefault="008D1707" w:rsidP="00EE6BF2">
      <w:pPr>
        <w:spacing w:before="160" w:line="276" w:lineRule="auto"/>
        <w:jc w:val="center"/>
        <w:rPr>
          <w:rFonts w:asciiTheme="majorHAnsi" w:hAnsiTheme="majorHAnsi" w:cs="Times New Roman"/>
          <w:color w:val="808080" w:themeColor="background1" w:themeShade="80"/>
          <w:sz w:val="2"/>
          <w:szCs w:val="24"/>
        </w:rPr>
      </w:pPr>
    </w:p>
    <w:p w14:paraId="0D3D0D06" w14:textId="5791A58A" w:rsidR="00F82321" w:rsidRPr="001D1391" w:rsidRDefault="008D1707" w:rsidP="00EE6BF2">
      <w:pPr>
        <w:spacing w:before="160" w:line="276" w:lineRule="auto"/>
        <w:jc w:val="center"/>
        <w:rPr>
          <w:rFonts w:asciiTheme="majorHAnsi" w:hAnsiTheme="majorHAnsi" w:cs="Times New Roman"/>
          <w:i/>
          <w:color w:val="646464"/>
          <w:sz w:val="24"/>
          <w:szCs w:val="24"/>
          <w:vertAlign w:val="subscript"/>
        </w:rPr>
      </w:pPr>
      <w:r w:rsidRPr="00DD38C0">
        <w:rPr>
          <w:rFonts w:asciiTheme="majorHAnsi" w:hAnsiTheme="majorHAnsi" w:cs="Times New Roman"/>
          <w:i/>
          <w:color w:val="646464"/>
          <w:sz w:val="24"/>
          <w:szCs w:val="24"/>
        </w:rPr>
        <w:t xml:space="preserve">Presented by </w:t>
      </w:r>
      <w:r w:rsidRPr="00DD38C0">
        <w:rPr>
          <w:rFonts w:asciiTheme="majorHAnsi" w:hAnsiTheme="majorHAnsi" w:cs="Times New Roman"/>
          <w:i/>
          <w:color w:val="646464"/>
          <w:sz w:val="24"/>
          <w:szCs w:val="24"/>
        </w:rPr>
        <w:fldChar w:fldCharType="begin"/>
      </w:r>
      <w:r w:rsidRPr="00DD38C0">
        <w:rPr>
          <w:rFonts w:asciiTheme="majorHAnsi" w:hAnsiTheme="majorHAnsi" w:cs="Times New Roman"/>
          <w:i/>
          <w:color w:val="646464"/>
          <w:sz w:val="24"/>
          <w:szCs w:val="24"/>
        </w:rPr>
        <w:instrText xml:space="preserve"> MERGEFIELD  representativename  \* MERGEFORMAT </w:instrText>
      </w:r>
      <w:r w:rsidRPr="00DD38C0">
        <w:rPr>
          <w:rFonts w:asciiTheme="majorHAnsi" w:hAnsiTheme="majorHAnsi" w:cs="Times New Roman"/>
          <w:i/>
          <w:color w:val="646464"/>
          <w:sz w:val="24"/>
          <w:szCs w:val="24"/>
        </w:rPr>
        <w:fldChar w:fldCharType="separate"/>
      </w:r>
      <w:r>
        <w:rPr>
          <w:rFonts w:asciiTheme="majorHAnsi" w:hAnsiTheme="majorHAnsi" w:cs="Times New Roman"/>
          <w:i/>
          <w:noProof/>
          <w:color w:val="646464"/>
          <w:sz w:val="24"/>
          <w:szCs w:val="24"/>
        </w:rPr>
        <w:t>Jason Kleemeier</w:t>
      </w:r>
      <w:r w:rsidRPr="00DD38C0">
        <w:rPr>
          <w:rFonts w:asciiTheme="majorHAnsi" w:hAnsiTheme="majorHAnsi" w:cs="Times New Roman"/>
          <w:i/>
          <w:color w:val="646464"/>
          <w:sz w:val="24"/>
          <w:szCs w:val="24"/>
        </w:rPr>
        <w:fldChar w:fldCharType="end"/>
      </w:r>
      <w:r w:rsidRPr="00DD38C0">
        <w:rPr>
          <w:rFonts w:asciiTheme="majorHAnsi" w:hAnsiTheme="majorHAnsi" w:cs="Times New Roman"/>
          <w:i/>
          <w:color w:val="646464"/>
          <w:sz w:val="24"/>
          <w:szCs w:val="24"/>
        </w:rPr>
        <w:t xml:space="preserve">, </w:t>
      </w:r>
      <w:r w:rsidRPr="0009142F">
        <w:rPr>
          <w:rFonts w:asciiTheme="majorHAnsi" w:hAnsiTheme="majorHAnsi" w:cs="Times New Roman"/>
          <w:i/>
          <w:color w:val="646464"/>
          <w:sz w:val="24"/>
          <w:szCs w:val="24"/>
        </w:rPr>
        <w:t>July 2021</w:t>
      </w:r>
    </w:p>
    <w:p w14:paraId="7A29660F" w14:textId="77777777" w:rsidR="002544C5" w:rsidRPr="00DD38C0" w:rsidRDefault="008D1707" w:rsidP="00EE6BF2">
      <w:pPr>
        <w:spacing w:before="160" w:line="276" w:lineRule="auto"/>
        <w:jc w:val="center"/>
        <w:rPr>
          <w:rFonts w:asciiTheme="majorHAnsi" w:hAnsiTheme="majorHAnsi" w:cs="Times New Roman"/>
          <w:color w:val="000000" w:themeColor="text1"/>
          <w:sz w:val="4"/>
          <w:szCs w:val="24"/>
        </w:rPr>
      </w:pPr>
    </w:p>
    <w:p w14:paraId="213D4736" w14:textId="77777777" w:rsidR="00775662" w:rsidRDefault="008D1707" w:rsidP="00EE6BF2">
      <w:pPr>
        <w:spacing w:line="276" w:lineRule="auto"/>
        <w:rPr>
          <w:rFonts w:asciiTheme="majorHAnsi" w:hAnsiTheme="majorHAnsi"/>
          <w:b/>
          <w:color w:val="3E7BB6"/>
          <w:sz w:val="28"/>
          <w:szCs w:val="24"/>
        </w:rPr>
      </w:pPr>
      <w:r w:rsidRPr="00AF2FAA">
        <w:rPr>
          <w:rFonts w:asciiTheme="majorHAnsi" w:hAnsiTheme="majorHAnsi"/>
          <w:b/>
          <w:color w:val="3E7BB6"/>
          <w:sz w:val="28"/>
          <w:szCs w:val="24"/>
        </w:rPr>
        <w:t>U.S. Markets</w:t>
      </w:r>
    </w:p>
    <w:p w14:paraId="46E19C89" w14:textId="77777777" w:rsidR="0009142F" w:rsidRPr="0009142F" w:rsidRDefault="008D1707" w:rsidP="0009142F">
      <w:pPr>
        <w:spacing w:line="276" w:lineRule="auto"/>
        <w:jc w:val="both"/>
        <w:rPr>
          <w:rFonts w:asciiTheme="majorHAnsi" w:hAnsiTheme="majorHAnsi" w:cstheme="majorHAnsi"/>
          <w:sz w:val="24"/>
          <w:szCs w:val="24"/>
        </w:rPr>
      </w:pPr>
      <w:r w:rsidRPr="0009142F">
        <w:rPr>
          <w:rFonts w:asciiTheme="majorHAnsi" w:hAnsiTheme="majorHAnsi" w:cstheme="majorHAnsi"/>
          <w:sz w:val="24"/>
          <w:szCs w:val="24"/>
        </w:rPr>
        <w:t xml:space="preserve">Stocks moved higher last month as investors looked past accelerating inflation and the Fed’s pivot on monetary policy. </w:t>
      </w:r>
    </w:p>
    <w:p w14:paraId="583F1D44" w14:textId="77777777" w:rsidR="00775662" w:rsidRPr="0047025A" w:rsidRDefault="008D1707" w:rsidP="0009142F">
      <w:pPr>
        <w:spacing w:line="276" w:lineRule="auto"/>
        <w:jc w:val="both"/>
        <w:rPr>
          <w:rFonts w:asciiTheme="majorHAnsi" w:hAnsiTheme="majorHAnsi"/>
          <w:color w:val="002060"/>
          <w:sz w:val="24"/>
          <w:szCs w:val="24"/>
        </w:rPr>
      </w:pPr>
      <w:r w:rsidRPr="0009142F">
        <w:rPr>
          <w:rFonts w:asciiTheme="majorHAnsi" w:hAnsiTheme="majorHAnsi" w:cstheme="majorHAnsi"/>
          <w:sz w:val="24"/>
          <w:szCs w:val="24"/>
        </w:rPr>
        <w:t xml:space="preserve">The Dow Jones Industrial Average slipped 0.07 percent, but the Standard &amp; Poor’s 500 Index rose 2.22 percent. The Nasdaq Composite led, </w:t>
      </w:r>
      <w:r w:rsidRPr="0009142F">
        <w:rPr>
          <w:rFonts w:asciiTheme="majorHAnsi" w:hAnsiTheme="majorHAnsi" w:cstheme="majorHAnsi"/>
          <w:sz w:val="24"/>
          <w:szCs w:val="24"/>
        </w:rPr>
        <w:t>gaining 5.49 percent.</w:t>
      </w:r>
      <w:r w:rsidRPr="0009142F">
        <w:rPr>
          <w:rFonts w:asciiTheme="majorHAnsi" w:hAnsiTheme="majorHAnsi" w:cstheme="majorHAnsi"/>
          <w:sz w:val="24"/>
          <w:szCs w:val="24"/>
          <w:vertAlign w:val="superscript"/>
        </w:rPr>
        <w:t>1</w:t>
      </w:r>
    </w:p>
    <w:p w14:paraId="0852B051" w14:textId="77777777" w:rsidR="00775662" w:rsidRPr="00DD38C0" w:rsidRDefault="008D1707" w:rsidP="00EE6BF2">
      <w:pPr>
        <w:spacing w:line="276" w:lineRule="auto"/>
        <w:rPr>
          <w:rFonts w:asciiTheme="majorHAnsi" w:hAnsiTheme="majorHAnsi"/>
          <w:sz w:val="6"/>
          <w:szCs w:val="24"/>
        </w:rPr>
      </w:pPr>
    </w:p>
    <w:p w14:paraId="6742DB81" w14:textId="77777777" w:rsidR="00775662" w:rsidRDefault="008D1707" w:rsidP="00EE6BF2">
      <w:pPr>
        <w:spacing w:line="276" w:lineRule="auto"/>
        <w:rPr>
          <w:rFonts w:asciiTheme="majorHAnsi" w:hAnsiTheme="majorHAnsi"/>
          <w:b/>
          <w:color w:val="3E7BB6"/>
          <w:sz w:val="28"/>
          <w:szCs w:val="24"/>
        </w:rPr>
      </w:pPr>
      <w:r w:rsidRPr="0009142F">
        <w:rPr>
          <w:rFonts w:asciiTheme="majorHAnsi" w:hAnsiTheme="majorHAnsi"/>
          <w:b/>
          <w:color w:val="3E7BB6"/>
          <w:sz w:val="28"/>
          <w:szCs w:val="24"/>
        </w:rPr>
        <w:t>Inflation Report</w:t>
      </w:r>
      <w:r w:rsidRPr="00775662">
        <w:rPr>
          <w:rFonts w:asciiTheme="majorHAnsi" w:hAnsiTheme="majorHAnsi"/>
          <w:b/>
          <w:color w:val="3E7BB6"/>
          <w:sz w:val="28"/>
          <w:szCs w:val="24"/>
        </w:rPr>
        <w:t xml:space="preserve"> </w:t>
      </w:r>
    </w:p>
    <w:p w14:paraId="0AEBDA07" w14:textId="77777777" w:rsidR="00F26D5E" w:rsidRPr="00896375" w:rsidRDefault="008D1707" w:rsidP="00AF2FAA">
      <w:pPr>
        <w:spacing w:line="276" w:lineRule="auto"/>
        <w:jc w:val="both"/>
        <w:rPr>
          <w:rStyle w:val="st"/>
          <w:rFonts w:asciiTheme="majorHAnsi" w:hAnsiTheme="majorHAnsi"/>
          <w:sz w:val="24"/>
          <w:szCs w:val="24"/>
        </w:rPr>
      </w:pPr>
      <w:r w:rsidRPr="0009142F">
        <w:rPr>
          <w:rStyle w:val="st"/>
          <w:rFonts w:asciiTheme="majorHAnsi" w:hAnsiTheme="majorHAnsi" w:cstheme="majorHAnsi"/>
          <w:sz w:val="24"/>
          <w:szCs w:val="24"/>
        </w:rPr>
        <w:t xml:space="preserve">The May Consumer Price Index came in above expectations. Prices increased by 5 percent for the year-over-year period—the fastest rate in nearly 13 years. Despite the surprise, markets rallied on the news, </w:t>
      </w:r>
      <w:r w:rsidRPr="0009142F">
        <w:rPr>
          <w:rStyle w:val="st"/>
          <w:rFonts w:asciiTheme="majorHAnsi" w:hAnsiTheme="majorHAnsi" w:cstheme="majorHAnsi"/>
          <w:sz w:val="24"/>
          <w:szCs w:val="24"/>
        </w:rPr>
        <w:t>sending the S&amp;P 500 to a new record close and the technology-heavy Nasdaq Composite higher.</w:t>
      </w:r>
      <w:r w:rsidRPr="0009142F">
        <w:rPr>
          <w:rStyle w:val="st"/>
          <w:rFonts w:asciiTheme="majorHAnsi" w:hAnsiTheme="majorHAnsi" w:cstheme="majorHAnsi"/>
          <w:sz w:val="24"/>
          <w:szCs w:val="24"/>
          <w:vertAlign w:val="superscript"/>
        </w:rPr>
        <w:t>2</w:t>
      </w:r>
    </w:p>
    <w:p w14:paraId="1518032E" w14:textId="77777777" w:rsidR="003F06AB" w:rsidRPr="00DD38C0" w:rsidRDefault="008D1707" w:rsidP="003F06AB">
      <w:pPr>
        <w:spacing w:line="276" w:lineRule="auto"/>
        <w:jc w:val="both"/>
        <w:rPr>
          <w:rFonts w:asciiTheme="majorHAnsi" w:hAnsiTheme="majorHAnsi"/>
          <w:sz w:val="6"/>
          <w:szCs w:val="24"/>
        </w:rPr>
      </w:pPr>
    </w:p>
    <w:p w14:paraId="553EBDDF" w14:textId="77777777" w:rsidR="00AF2FAA" w:rsidRDefault="008D1707" w:rsidP="00A4481D">
      <w:pPr>
        <w:spacing w:line="276" w:lineRule="auto"/>
        <w:jc w:val="both"/>
        <w:rPr>
          <w:rFonts w:asciiTheme="majorHAnsi" w:hAnsiTheme="majorHAnsi"/>
          <w:b/>
          <w:color w:val="3E7BB6"/>
          <w:sz w:val="28"/>
          <w:szCs w:val="24"/>
        </w:rPr>
      </w:pPr>
      <w:r w:rsidRPr="0009142F">
        <w:rPr>
          <w:rFonts w:asciiTheme="majorHAnsi" w:hAnsiTheme="majorHAnsi"/>
          <w:b/>
          <w:color w:val="3E7BB6"/>
          <w:sz w:val="28"/>
          <w:szCs w:val="24"/>
        </w:rPr>
        <w:t>Fed Pivot</w:t>
      </w:r>
      <w:r w:rsidRPr="00AF2FAA">
        <w:rPr>
          <w:rFonts w:asciiTheme="majorHAnsi" w:hAnsiTheme="majorHAnsi"/>
          <w:b/>
          <w:color w:val="3E7BB6"/>
          <w:sz w:val="28"/>
          <w:szCs w:val="24"/>
        </w:rPr>
        <w:t xml:space="preserve"> </w:t>
      </w:r>
    </w:p>
    <w:p w14:paraId="6306FCC2" w14:textId="77777777" w:rsidR="00775662" w:rsidRPr="00DD38C0" w:rsidRDefault="008D1707" w:rsidP="00EE6BF2">
      <w:pPr>
        <w:spacing w:line="276" w:lineRule="auto"/>
        <w:jc w:val="both"/>
        <w:rPr>
          <w:rFonts w:asciiTheme="majorHAnsi" w:hAnsiTheme="majorHAnsi"/>
          <w:sz w:val="6"/>
          <w:szCs w:val="24"/>
        </w:rPr>
      </w:pPr>
      <w:r w:rsidRPr="0009142F">
        <w:rPr>
          <w:rFonts w:asciiTheme="majorHAnsi" w:hAnsiTheme="majorHAnsi"/>
          <w:sz w:val="24"/>
          <w:szCs w:val="24"/>
        </w:rPr>
        <w:t>The Fed indicated that two interest rate hikes in 2023 were likely, despite signals as recently as March 2021 that rates would remain unchanged until 2</w:t>
      </w:r>
      <w:r w:rsidRPr="0009142F">
        <w:rPr>
          <w:rFonts w:asciiTheme="majorHAnsi" w:hAnsiTheme="majorHAnsi"/>
          <w:sz w:val="24"/>
          <w:szCs w:val="24"/>
        </w:rPr>
        <w:t>024. The Fed also raised its inflation expectations to 3.4 percent, up from its March projection of 2.4 percent. This news unsettled the markets, but the shock was short-lived.</w:t>
      </w:r>
      <w:r w:rsidRPr="0009142F">
        <w:rPr>
          <w:rFonts w:asciiTheme="majorHAnsi" w:hAnsiTheme="majorHAnsi"/>
          <w:sz w:val="24"/>
          <w:szCs w:val="24"/>
          <w:vertAlign w:val="superscript"/>
        </w:rPr>
        <w:t>3</w:t>
      </w:r>
    </w:p>
    <w:p w14:paraId="1E1B9C22" w14:textId="77777777" w:rsidR="00B87E49" w:rsidRDefault="008D1707" w:rsidP="00946B0D">
      <w:pPr>
        <w:pStyle w:val="PlainText"/>
        <w:spacing w:after="160" w:line="276" w:lineRule="auto"/>
        <w:jc w:val="both"/>
        <w:rPr>
          <w:rFonts w:asciiTheme="majorHAnsi" w:hAnsiTheme="majorHAnsi"/>
          <w:b/>
          <w:color w:val="3E7BB6"/>
          <w:sz w:val="28"/>
          <w:szCs w:val="24"/>
        </w:rPr>
      </w:pPr>
      <w:r w:rsidRPr="0009142F">
        <w:rPr>
          <w:rFonts w:asciiTheme="majorHAnsi" w:hAnsiTheme="majorHAnsi"/>
          <w:b/>
          <w:color w:val="3E7BB6"/>
          <w:sz w:val="28"/>
          <w:szCs w:val="24"/>
        </w:rPr>
        <w:t>News-Driven Rally</w:t>
      </w:r>
    </w:p>
    <w:p w14:paraId="24418F48" w14:textId="77777777" w:rsidR="00E35A04" w:rsidRPr="00AF2FAA" w:rsidRDefault="008D1707" w:rsidP="003A503A">
      <w:pPr>
        <w:pStyle w:val="PlainText"/>
        <w:spacing w:line="276" w:lineRule="auto"/>
        <w:jc w:val="both"/>
        <w:rPr>
          <w:rFonts w:asciiTheme="majorHAnsi" w:hAnsiTheme="majorHAnsi" w:cstheme="majorHAnsi"/>
          <w:sz w:val="24"/>
          <w:szCs w:val="24"/>
          <w:vertAlign w:val="superscript"/>
        </w:rPr>
      </w:pPr>
      <w:r w:rsidRPr="0009142F">
        <w:rPr>
          <w:rFonts w:asciiTheme="majorHAnsi" w:hAnsiTheme="majorHAnsi" w:cstheme="majorHAnsi"/>
          <w:sz w:val="24"/>
          <w:szCs w:val="24"/>
        </w:rPr>
        <w:t xml:space="preserve">In the final full week of trading, stocks rallied on the </w:t>
      </w:r>
      <w:r w:rsidRPr="0009142F">
        <w:rPr>
          <w:rFonts w:asciiTheme="majorHAnsi" w:hAnsiTheme="majorHAnsi" w:cstheme="majorHAnsi"/>
          <w:sz w:val="24"/>
          <w:szCs w:val="24"/>
        </w:rPr>
        <w:t>news of an agreement regarding the $1 trillion infrastructure bill and reports that banks had passed the latest Federal Reserve stress tests</w:t>
      </w:r>
      <w:r>
        <w:rPr>
          <w:rFonts w:asciiTheme="majorHAnsi" w:hAnsiTheme="majorHAnsi" w:cstheme="majorHAnsi"/>
          <w:sz w:val="24"/>
          <w:szCs w:val="24"/>
        </w:rPr>
        <w:t>.</w:t>
      </w:r>
    </w:p>
    <w:p w14:paraId="02228936" w14:textId="098878AD" w:rsidR="00C22332" w:rsidRDefault="008D1707" w:rsidP="00C22332">
      <w:pPr>
        <w:spacing w:line="276" w:lineRule="auto"/>
        <w:jc w:val="both"/>
        <w:rPr>
          <w:rFonts w:asciiTheme="majorHAnsi" w:hAnsiTheme="majorHAnsi"/>
          <w:sz w:val="6"/>
          <w:szCs w:val="24"/>
        </w:rPr>
      </w:pPr>
    </w:p>
    <w:p w14:paraId="538A3AA5" w14:textId="78F8B5D0" w:rsidR="008D1707" w:rsidRDefault="008D1707" w:rsidP="00C22332">
      <w:pPr>
        <w:spacing w:line="276" w:lineRule="auto"/>
        <w:jc w:val="both"/>
        <w:rPr>
          <w:rFonts w:asciiTheme="majorHAnsi" w:hAnsiTheme="majorHAnsi"/>
          <w:sz w:val="6"/>
          <w:szCs w:val="24"/>
        </w:rPr>
      </w:pPr>
    </w:p>
    <w:p w14:paraId="7863DFA6" w14:textId="2A87E382" w:rsidR="008D1707" w:rsidRDefault="008D1707" w:rsidP="00C22332">
      <w:pPr>
        <w:spacing w:line="276" w:lineRule="auto"/>
        <w:jc w:val="both"/>
        <w:rPr>
          <w:rFonts w:asciiTheme="majorHAnsi" w:hAnsiTheme="majorHAnsi"/>
          <w:sz w:val="6"/>
          <w:szCs w:val="24"/>
        </w:rPr>
      </w:pPr>
    </w:p>
    <w:p w14:paraId="3A2FC3F9" w14:textId="77777777" w:rsidR="008D1707" w:rsidRPr="00DD38C0" w:rsidRDefault="008D1707" w:rsidP="00C22332">
      <w:pPr>
        <w:spacing w:line="276" w:lineRule="auto"/>
        <w:jc w:val="both"/>
        <w:rPr>
          <w:rFonts w:asciiTheme="majorHAnsi" w:hAnsiTheme="majorHAnsi"/>
          <w:sz w:val="6"/>
          <w:szCs w:val="24"/>
        </w:rPr>
      </w:pPr>
    </w:p>
    <w:p w14:paraId="01F69E1C" w14:textId="77777777" w:rsidR="00DD38C0" w:rsidRPr="00775662" w:rsidRDefault="008D1707" w:rsidP="00946B0D">
      <w:pPr>
        <w:spacing w:line="276" w:lineRule="auto"/>
        <w:jc w:val="both"/>
        <w:rPr>
          <w:rFonts w:asciiTheme="majorHAnsi" w:hAnsiTheme="majorHAnsi"/>
          <w:b/>
          <w:color w:val="3E7BB6"/>
          <w:sz w:val="28"/>
          <w:szCs w:val="24"/>
        </w:rPr>
      </w:pPr>
      <w:r w:rsidRPr="0009142F">
        <w:rPr>
          <w:rFonts w:asciiTheme="majorHAnsi" w:hAnsiTheme="majorHAnsi"/>
          <w:b/>
          <w:color w:val="3E7BB6"/>
          <w:sz w:val="28"/>
          <w:szCs w:val="24"/>
        </w:rPr>
        <w:lastRenderedPageBreak/>
        <w:t>Sector Scorecard</w:t>
      </w:r>
      <w:r>
        <w:rPr>
          <w:rFonts w:asciiTheme="majorHAnsi" w:hAnsiTheme="majorHAnsi"/>
          <w:b/>
          <w:color w:val="3E7BB6"/>
          <w:sz w:val="28"/>
          <w:szCs w:val="24"/>
        </w:rPr>
        <w:t xml:space="preserve"> </w:t>
      </w:r>
    </w:p>
    <w:p w14:paraId="6D1C4235" w14:textId="77777777" w:rsidR="001B3C06" w:rsidRPr="00253458" w:rsidRDefault="008D1707" w:rsidP="00923CB9">
      <w:pPr>
        <w:pStyle w:val="PlainText"/>
        <w:spacing w:line="276" w:lineRule="auto"/>
        <w:jc w:val="both"/>
        <w:rPr>
          <w:rStyle w:val="st"/>
          <w:rFonts w:asciiTheme="majorHAnsi" w:hAnsiTheme="majorHAnsi" w:cstheme="majorHAnsi"/>
          <w:sz w:val="24"/>
          <w:szCs w:val="24"/>
          <w:vertAlign w:val="superscript"/>
        </w:rPr>
      </w:pPr>
      <w:r w:rsidRPr="0009142F">
        <w:rPr>
          <w:rStyle w:val="st"/>
          <w:rFonts w:asciiTheme="majorHAnsi" w:hAnsiTheme="majorHAnsi"/>
          <w:sz w:val="24"/>
          <w:szCs w:val="24"/>
        </w:rPr>
        <w:t>Industry sector performance was mixed. Gains were realized in Communication Services (+2.96 per</w:t>
      </w:r>
      <w:r w:rsidRPr="0009142F">
        <w:rPr>
          <w:rStyle w:val="st"/>
          <w:rFonts w:asciiTheme="majorHAnsi" w:hAnsiTheme="majorHAnsi"/>
          <w:sz w:val="24"/>
          <w:szCs w:val="24"/>
        </w:rPr>
        <w:t>cent), Consumer Discretionary (+3.22 percent), Energy (+1.92 percent), Health Care (+1.97 percent), Real Estate (+3.28 percent), and Technology (+6.81 percent). Losses were suffered in Consumer Staples (-1.95 percent), Financials (-3.84 percent), Industria</w:t>
      </w:r>
      <w:r w:rsidRPr="0009142F">
        <w:rPr>
          <w:rStyle w:val="st"/>
          <w:rFonts w:asciiTheme="majorHAnsi" w:hAnsiTheme="majorHAnsi"/>
          <w:sz w:val="24"/>
          <w:szCs w:val="24"/>
        </w:rPr>
        <w:t>ls (-3.34 percent), Materials (-5.92 percent), and Utilities (-2.78 percent).</w:t>
      </w:r>
      <w:r w:rsidRPr="0009142F">
        <w:rPr>
          <w:rStyle w:val="st"/>
          <w:rFonts w:asciiTheme="majorHAnsi" w:hAnsiTheme="majorHAnsi"/>
          <w:sz w:val="24"/>
          <w:szCs w:val="24"/>
          <w:vertAlign w:val="superscript"/>
        </w:rPr>
        <w:t>4</w:t>
      </w:r>
    </w:p>
    <w:p w14:paraId="7024D844" w14:textId="77777777" w:rsidR="00A4481D" w:rsidRPr="00DD38C0" w:rsidRDefault="008D1707" w:rsidP="00A4481D">
      <w:pPr>
        <w:spacing w:line="276" w:lineRule="auto"/>
        <w:jc w:val="both"/>
        <w:rPr>
          <w:rFonts w:asciiTheme="majorHAnsi" w:hAnsiTheme="majorHAnsi"/>
          <w:sz w:val="6"/>
          <w:szCs w:val="24"/>
        </w:rPr>
      </w:pPr>
    </w:p>
    <w:p w14:paraId="5089AC5A" w14:textId="77777777" w:rsidR="002405DE" w:rsidRPr="00775662" w:rsidRDefault="008D1707" w:rsidP="002405DE">
      <w:pPr>
        <w:spacing w:line="276" w:lineRule="auto"/>
        <w:jc w:val="both"/>
        <w:rPr>
          <w:rFonts w:asciiTheme="majorHAnsi" w:hAnsiTheme="majorHAnsi"/>
          <w:b/>
          <w:color w:val="3E7BB6"/>
          <w:sz w:val="28"/>
          <w:szCs w:val="24"/>
        </w:rPr>
      </w:pPr>
      <w:r w:rsidRPr="0009142F">
        <w:rPr>
          <w:rFonts w:asciiTheme="majorHAnsi" w:hAnsiTheme="majorHAnsi"/>
          <w:b/>
          <w:color w:val="3E7BB6"/>
          <w:sz w:val="28"/>
          <w:szCs w:val="24"/>
        </w:rPr>
        <w:t>What Investors May Be Talking About in July</w:t>
      </w:r>
      <w:r>
        <w:rPr>
          <w:rFonts w:asciiTheme="majorHAnsi" w:hAnsiTheme="majorHAnsi"/>
          <w:b/>
          <w:color w:val="3E7BB6"/>
          <w:sz w:val="28"/>
          <w:szCs w:val="24"/>
        </w:rPr>
        <w:t xml:space="preserve"> </w:t>
      </w:r>
    </w:p>
    <w:p w14:paraId="4CA5D814" w14:textId="77777777" w:rsidR="0009142F" w:rsidRPr="0009142F" w:rsidRDefault="008D1707" w:rsidP="0009142F">
      <w:pPr>
        <w:spacing w:line="276" w:lineRule="auto"/>
        <w:jc w:val="both"/>
        <w:rPr>
          <w:rStyle w:val="st"/>
          <w:rFonts w:asciiTheme="majorHAnsi" w:eastAsia="Calibri" w:hAnsiTheme="majorHAnsi" w:cs="Consolas"/>
          <w:sz w:val="24"/>
          <w:szCs w:val="24"/>
        </w:rPr>
      </w:pPr>
      <w:r w:rsidRPr="0009142F">
        <w:rPr>
          <w:rStyle w:val="st"/>
          <w:rFonts w:asciiTheme="majorHAnsi" w:eastAsia="Calibri" w:hAnsiTheme="majorHAnsi" w:cs="Consolas"/>
          <w:sz w:val="24"/>
          <w:szCs w:val="24"/>
        </w:rPr>
        <w:t xml:space="preserve">Second-quarter earnings season is near, and investors will see whether Corporate America can build upon its </w:t>
      </w:r>
      <w:r w:rsidRPr="0009142F">
        <w:rPr>
          <w:rStyle w:val="st"/>
          <w:rFonts w:asciiTheme="majorHAnsi" w:eastAsia="Calibri" w:hAnsiTheme="majorHAnsi" w:cs="Consolas"/>
          <w:sz w:val="24"/>
          <w:szCs w:val="24"/>
        </w:rPr>
        <w:t>first-quarter results.</w:t>
      </w:r>
    </w:p>
    <w:p w14:paraId="115F59E0" w14:textId="77777777" w:rsidR="0009142F" w:rsidRPr="0009142F" w:rsidRDefault="008D1707" w:rsidP="0009142F">
      <w:pPr>
        <w:spacing w:line="276" w:lineRule="auto"/>
        <w:jc w:val="both"/>
        <w:rPr>
          <w:rStyle w:val="st"/>
          <w:rFonts w:asciiTheme="majorHAnsi" w:eastAsia="Calibri" w:hAnsiTheme="majorHAnsi" w:cs="Consolas"/>
          <w:sz w:val="24"/>
          <w:szCs w:val="24"/>
        </w:rPr>
      </w:pPr>
      <w:r w:rsidRPr="0009142F">
        <w:rPr>
          <w:rStyle w:val="st"/>
          <w:rFonts w:asciiTheme="majorHAnsi" w:eastAsia="Calibri" w:hAnsiTheme="majorHAnsi" w:cs="Consolas"/>
          <w:sz w:val="24"/>
          <w:szCs w:val="24"/>
        </w:rPr>
        <w:t>Earnings are expected to increase 61 percent, in part driven by a nearly 20 percent growth in sales. In the first quarter, earnings rose 52 percent on an 11 percent increase in sales.</w:t>
      </w:r>
      <w:r w:rsidRPr="0009142F">
        <w:rPr>
          <w:rStyle w:val="st"/>
          <w:rFonts w:asciiTheme="majorHAnsi" w:eastAsia="Calibri" w:hAnsiTheme="majorHAnsi" w:cs="Consolas"/>
          <w:sz w:val="24"/>
          <w:szCs w:val="24"/>
          <w:vertAlign w:val="superscript"/>
        </w:rPr>
        <w:t>5</w:t>
      </w:r>
    </w:p>
    <w:p w14:paraId="12079B5A" w14:textId="77777777" w:rsidR="0009142F" w:rsidRPr="0009142F" w:rsidRDefault="008D1707" w:rsidP="0009142F">
      <w:pPr>
        <w:spacing w:line="276" w:lineRule="auto"/>
        <w:jc w:val="both"/>
        <w:rPr>
          <w:rStyle w:val="st"/>
          <w:rFonts w:asciiTheme="majorHAnsi" w:eastAsia="Calibri" w:hAnsiTheme="majorHAnsi" w:cs="Consolas"/>
          <w:sz w:val="24"/>
          <w:szCs w:val="24"/>
        </w:rPr>
      </w:pPr>
      <w:r w:rsidRPr="0009142F">
        <w:rPr>
          <w:rStyle w:val="st"/>
          <w:rFonts w:asciiTheme="majorHAnsi" w:eastAsia="Calibri" w:hAnsiTheme="majorHAnsi" w:cs="Consolas"/>
          <w:sz w:val="24"/>
          <w:szCs w:val="24"/>
        </w:rPr>
        <w:t xml:space="preserve">First-quarter earnings </w:t>
      </w:r>
      <w:proofErr w:type="gramStart"/>
      <w:r w:rsidRPr="0009142F">
        <w:rPr>
          <w:rStyle w:val="st"/>
          <w:rFonts w:asciiTheme="majorHAnsi" w:eastAsia="Calibri" w:hAnsiTheme="majorHAnsi" w:cs="Consolas"/>
          <w:sz w:val="24"/>
          <w:szCs w:val="24"/>
        </w:rPr>
        <w:t>didn’t</w:t>
      </w:r>
      <w:proofErr w:type="gramEnd"/>
      <w:r w:rsidRPr="0009142F">
        <w:rPr>
          <w:rStyle w:val="st"/>
          <w:rFonts w:asciiTheme="majorHAnsi" w:eastAsia="Calibri" w:hAnsiTheme="majorHAnsi" w:cs="Consolas"/>
          <w:sz w:val="24"/>
          <w:szCs w:val="24"/>
        </w:rPr>
        <w:t xml:space="preserve"> move the market, s</w:t>
      </w:r>
      <w:r w:rsidRPr="0009142F">
        <w:rPr>
          <w:rStyle w:val="st"/>
          <w:rFonts w:asciiTheme="majorHAnsi" w:eastAsia="Calibri" w:hAnsiTheme="majorHAnsi" w:cs="Consolas"/>
          <w:sz w:val="24"/>
          <w:szCs w:val="24"/>
        </w:rPr>
        <w:t>o it’s uncertain whether second-quarter numbers will be a catalyst.</w:t>
      </w:r>
    </w:p>
    <w:p w14:paraId="48DF8F48" w14:textId="77777777" w:rsidR="000E566E" w:rsidRPr="008059E3" w:rsidRDefault="008D1707" w:rsidP="0009142F">
      <w:pPr>
        <w:spacing w:line="276" w:lineRule="auto"/>
        <w:jc w:val="both"/>
        <w:rPr>
          <w:rStyle w:val="st"/>
          <w:rFonts w:asciiTheme="majorHAnsi" w:hAnsiTheme="majorHAnsi"/>
          <w:sz w:val="24"/>
          <w:szCs w:val="24"/>
        </w:rPr>
      </w:pPr>
      <w:r w:rsidRPr="0009142F">
        <w:rPr>
          <w:rStyle w:val="st"/>
          <w:rFonts w:asciiTheme="majorHAnsi" w:eastAsia="Calibri" w:hAnsiTheme="majorHAnsi" w:cs="Consolas"/>
          <w:sz w:val="24"/>
          <w:szCs w:val="24"/>
        </w:rPr>
        <w:t>But if earnings miss the mark, analysts may find themselves evaluating stock valuations over the next few months</w:t>
      </w:r>
      <w:r w:rsidRPr="00FD6F01">
        <w:rPr>
          <w:rStyle w:val="st"/>
          <w:rFonts w:asciiTheme="majorHAnsi" w:hAnsiTheme="majorHAnsi"/>
          <w:sz w:val="24"/>
          <w:szCs w:val="24"/>
        </w:rPr>
        <w:t>.</w:t>
      </w:r>
    </w:p>
    <w:p w14:paraId="438890DA" w14:textId="77777777" w:rsidR="00E24345" w:rsidRPr="00DD38C0" w:rsidRDefault="008D1707" w:rsidP="00EE6BF2">
      <w:pPr>
        <w:spacing w:line="276" w:lineRule="auto"/>
        <w:rPr>
          <w:rStyle w:val="st"/>
          <w:rFonts w:asciiTheme="majorHAnsi" w:hAnsiTheme="majorHAnsi"/>
          <w:sz w:val="4"/>
        </w:rPr>
      </w:pPr>
    </w:p>
    <w:p w14:paraId="6929D0E9" w14:textId="77777777" w:rsidR="006D5A63" w:rsidRDefault="008D170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9C18BF9" wp14:editId="4123D009">
            <wp:extent cx="5825083" cy="26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0440730F" w14:textId="77777777" w:rsidR="006D5A63" w:rsidRPr="00DD38C0" w:rsidRDefault="008D1707" w:rsidP="00EE6BF2">
      <w:pPr>
        <w:spacing w:line="276" w:lineRule="auto"/>
        <w:jc w:val="center"/>
        <w:rPr>
          <w:rStyle w:val="st"/>
          <w:rFonts w:asciiTheme="majorHAnsi" w:hAnsiTheme="majorHAnsi"/>
          <w:color w:val="E88E0A"/>
          <w:sz w:val="4"/>
        </w:rPr>
      </w:pPr>
    </w:p>
    <w:p w14:paraId="378AB5F4" w14:textId="77777777" w:rsidR="006D5A63" w:rsidRPr="00DD38C0" w:rsidRDefault="008D1707" w:rsidP="00EE6BF2">
      <w:pPr>
        <w:spacing w:line="276" w:lineRule="auto"/>
        <w:jc w:val="center"/>
        <w:rPr>
          <w:rStyle w:val="st"/>
          <w:rFonts w:asciiTheme="majorHAnsi" w:hAnsiTheme="majorHAnsi"/>
          <w:color w:val="E88E0A"/>
          <w:sz w:val="4"/>
        </w:rPr>
      </w:pPr>
      <w:r w:rsidRPr="007C2813">
        <w:rPr>
          <w:rStyle w:val="st"/>
          <w:rFonts w:asciiTheme="majorHAnsi" w:hAnsiTheme="majorHAnsi"/>
          <w:color w:val="3E7BB6"/>
        </w:rPr>
        <w:t xml:space="preserve">T I P   O F   T H E   </w:t>
      </w:r>
      <w:r w:rsidRPr="007C2813">
        <w:rPr>
          <w:rStyle w:val="st"/>
          <w:rFonts w:asciiTheme="majorHAnsi" w:hAnsiTheme="majorHAnsi"/>
          <w:color w:val="3E7BB6"/>
        </w:rPr>
        <w:t>M O N T H</w:t>
      </w:r>
      <w:r>
        <w:rPr>
          <w:rStyle w:val="st"/>
          <w:rFonts w:asciiTheme="majorHAnsi" w:hAnsiTheme="majorHAnsi"/>
          <w:color w:val="E88E0A"/>
        </w:rPr>
        <w:br/>
      </w:r>
    </w:p>
    <w:p w14:paraId="5F73319F" w14:textId="77777777" w:rsidR="006D5A63" w:rsidRDefault="008D1707"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15F0B76C" wp14:editId="4EB96F05">
            <wp:extent cx="995363" cy="733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4730" cy="740327"/>
                    </a:xfrm>
                    <a:prstGeom prst="rect">
                      <a:avLst/>
                    </a:prstGeom>
                  </pic:spPr>
                </pic:pic>
              </a:graphicData>
            </a:graphic>
          </wp:inline>
        </w:drawing>
      </w:r>
    </w:p>
    <w:p w14:paraId="614394C0" w14:textId="77777777" w:rsidR="006D5A63" w:rsidRPr="0047025A" w:rsidRDefault="008D1707" w:rsidP="00EE6BF2">
      <w:pPr>
        <w:spacing w:line="276" w:lineRule="auto"/>
        <w:jc w:val="center"/>
        <w:rPr>
          <w:rStyle w:val="st"/>
          <w:rFonts w:asciiTheme="majorHAnsi" w:hAnsiTheme="majorHAnsi"/>
          <w:i/>
          <w:color w:val="002060"/>
          <w:sz w:val="28"/>
        </w:rPr>
      </w:pPr>
      <w:r w:rsidRPr="00DD38C0">
        <w:rPr>
          <w:rStyle w:val="st"/>
          <w:rFonts w:asciiTheme="majorHAnsi" w:hAnsiTheme="majorHAnsi"/>
          <w:sz w:val="6"/>
        </w:rPr>
        <w:br/>
      </w:r>
      <w:r w:rsidRPr="0009142F">
        <w:rPr>
          <w:rStyle w:val="st"/>
          <w:rFonts w:asciiTheme="majorHAnsi" w:hAnsiTheme="majorHAnsi"/>
          <w:i/>
          <w:sz w:val="28"/>
        </w:rPr>
        <w:t xml:space="preserve">Cancel monthly charges for </w:t>
      </w:r>
      <w:r w:rsidRPr="0009142F">
        <w:rPr>
          <w:rStyle w:val="st"/>
          <w:rFonts w:asciiTheme="majorHAnsi" w:hAnsiTheme="majorHAnsi"/>
          <w:i/>
          <w:sz w:val="28"/>
        </w:rPr>
        <w:t xml:space="preserve">services or products you really </w:t>
      </w:r>
      <w:proofErr w:type="gramStart"/>
      <w:r w:rsidRPr="0009142F">
        <w:rPr>
          <w:rStyle w:val="st"/>
          <w:rFonts w:asciiTheme="majorHAnsi" w:hAnsiTheme="majorHAnsi"/>
          <w:i/>
          <w:sz w:val="28"/>
        </w:rPr>
        <w:t>don’t</w:t>
      </w:r>
      <w:proofErr w:type="gramEnd"/>
      <w:r w:rsidRPr="0009142F">
        <w:rPr>
          <w:rStyle w:val="st"/>
          <w:rFonts w:asciiTheme="majorHAnsi" w:hAnsiTheme="majorHAnsi"/>
          <w:i/>
          <w:sz w:val="28"/>
        </w:rPr>
        <w:t xml:space="preserve"> use or need. If you decide you do need them, you can always sign up for them again later</w:t>
      </w:r>
      <w:r w:rsidRPr="00B60BB5">
        <w:rPr>
          <w:rStyle w:val="st"/>
          <w:rFonts w:asciiTheme="majorHAnsi" w:hAnsiTheme="majorHAnsi"/>
          <w:i/>
          <w:sz w:val="28"/>
        </w:rPr>
        <w:t>.</w:t>
      </w:r>
    </w:p>
    <w:p w14:paraId="78AE6A7B" w14:textId="77777777" w:rsidR="006D5A63" w:rsidRPr="00DD38C0" w:rsidRDefault="008D1707" w:rsidP="00EE6BF2">
      <w:pPr>
        <w:spacing w:line="276" w:lineRule="auto"/>
        <w:jc w:val="center"/>
        <w:rPr>
          <w:rStyle w:val="st"/>
          <w:rFonts w:asciiTheme="majorHAnsi" w:hAnsiTheme="majorHAnsi"/>
          <w:i/>
          <w:color w:val="E88E0A"/>
          <w:sz w:val="4"/>
        </w:rPr>
      </w:pPr>
    </w:p>
    <w:p w14:paraId="5637DDA1" w14:textId="77777777" w:rsidR="00E24345" w:rsidRDefault="008D1707" w:rsidP="00EE6BF2">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AE4E2EA" wp14:editId="79E20B83">
            <wp:extent cx="5825083" cy="2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383E4786" w14:textId="77777777" w:rsidR="00373CC8" w:rsidRPr="00DD38C0" w:rsidRDefault="008D1707" w:rsidP="00EE6BF2">
      <w:pPr>
        <w:spacing w:line="276" w:lineRule="auto"/>
        <w:rPr>
          <w:rFonts w:asciiTheme="majorHAnsi" w:hAnsiTheme="majorHAnsi"/>
          <w:b/>
          <w:color w:val="E88E0A"/>
          <w:spacing w:val="-2"/>
          <w:sz w:val="8"/>
        </w:rPr>
      </w:pPr>
    </w:p>
    <w:p w14:paraId="484AB7F2" w14:textId="77777777" w:rsidR="00775662" w:rsidRPr="007A5A6C" w:rsidRDefault="008D1707" w:rsidP="00EE6BF2">
      <w:pPr>
        <w:spacing w:line="276" w:lineRule="auto"/>
        <w:rPr>
          <w:rFonts w:asciiTheme="majorHAnsi" w:hAnsiTheme="majorHAnsi"/>
          <w:b/>
          <w:spacing w:val="-2"/>
          <w:sz w:val="28"/>
        </w:rPr>
      </w:pPr>
      <w:r w:rsidRPr="00AF2FAA">
        <w:rPr>
          <w:rFonts w:asciiTheme="majorHAnsi" w:hAnsiTheme="majorHAnsi"/>
          <w:b/>
          <w:color w:val="3E7BB6"/>
          <w:spacing w:val="-2"/>
          <w:sz w:val="28"/>
        </w:rPr>
        <w:t>World Markets</w:t>
      </w:r>
    </w:p>
    <w:p w14:paraId="757F97B3" w14:textId="77777777" w:rsidR="0009142F" w:rsidRPr="0009142F" w:rsidRDefault="008D1707" w:rsidP="0009142F">
      <w:pPr>
        <w:spacing w:line="276" w:lineRule="auto"/>
        <w:rPr>
          <w:rStyle w:val="st"/>
          <w:rFonts w:asciiTheme="majorHAnsi" w:hAnsiTheme="majorHAnsi"/>
          <w:sz w:val="24"/>
        </w:rPr>
      </w:pPr>
      <w:r w:rsidRPr="0009142F">
        <w:rPr>
          <w:rStyle w:val="st"/>
          <w:rFonts w:asciiTheme="majorHAnsi" w:hAnsiTheme="majorHAnsi"/>
          <w:sz w:val="24"/>
        </w:rPr>
        <w:t>Overseas markets were mixed in June, with the MSCI EAFE Index falling 0.33 percent.</w:t>
      </w:r>
      <w:r w:rsidRPr="0009142F">
        <w:rPr>
          <w:rStyle w:val="st"/>
          <w:rFonts w:asciiTheme="majorHAnsi" w:hAnsiTheme="majorHAnsi"/>
          <w:sz w:val="24"/>
          <w:vertAlign w:val="superscript"/>
        </w:rPr>
        <w:t>6</w:t>
      </w:r>
    </w:p>
    <w:p w14:paraId="3AEBB799" w14:textId="77777777" w:rsidR="0009142F" w:rsidRPr="0009142F" w:rsidRDefault="008D1707" w:rsidP="0009142F">
      <w:pPr>
        <w:spacing w:line="276" w:lineRule="auto"/>
        <w:rPr>
          <w:rStyle w:val="st"/>
          <w:rFonts w:asciiTheme="majorHAnsi" w:hAnsiTheme="majorHAnsi"/>
          <w:sz w:val="24"/>
        </w:rPr>
      </w:pPr>
      <w:r w:rsidRPr="0009142F">
        <w:rPr>
          <w:rStyle w:val="st"/>
          <w:rFonts w:asciiTheme="majorHAnsi" w:hAnsiTheme="majorHAnsi"/>
          <w:sz w:val="24"/>
        </w:rPr>
        <w:t xml:space="preserve">European markets, </w:t>
      </w:r>
      <w:r w:rsidRPr="0009142F">
        <w:rPr>
          <w:rStyle w:val="st"/>
          <w:rFonts w:asciiTheme="majorHAnsi" w:hAnsiTheme="majorHAnsi"/>
          <w:sz w:val="24"/>
        </w:rPr>
        <w:t>however, edged higher. France picked up 0.93 percent, Germany tacked on 0.71 percent, and the U.K. rose 0.21 percent.</w:t>
      </w:r>
      <w:r w:rsidRPr="0009142F">
        <w:rPr>
          <w:rStyle w:val="st"/>
          <w:rFonts w:asciiTheme="majorHAnsi" w:hAnsiTheme="majorHAnsi"/>
          <w:sz w:val="24"/>
          <w:vertAlign w:val="superscript"/>
        </w:rPr>
        <w:t>7</w:t>
      </w:r>
    </w:p>
    <w:p w14:paraId="7FEF2EF0" w14:textId="77777777" w:rsidR="0009142F" w:rsidRPr="0009142F" w:rsidRDefault="008D1707" w:rsidP="0009142F">
      <w:pPr>
        <w:spacing w:line="276" w:lineRule="auto"/>
        <w:rPr>
          <w:rStyle w:val="st"/>
          <w:rFonts w:asciiTheme="majorHAnsi" w:hAnsiTheme="majorHAnsi"/>
          <w:sz w:val="24"/>
        </w:rPr>
      </w:pPr>
    </w:p>
    <w:p w14:paraId="15E89C89" w14:textId="77777777" w:rsidR="00AF2FAA" w:rsidRDefault="008D1707" w:rsidP="0009142F">
      <w:pPr>
        <w:spacing w:line="276" w:lineRule="auto"/>
        <w:rPr>
          <w:rStyle w:val="st"/>
          <w:rFonts w:asciiTheme="majorHAnsi" w:hAnsiTheme="majorHAnsi"/>
          <w:sz w:val="24"/>
        </w:rPr>
      </w:pPr>
      <w:r w:rsidRPr="0009142F">
        <w:rPr>
          <w:rStyle w:val="st"/>
          <w:rFonts w:asciiTheme="majorHAnsi" w:hAnsiTheme="majorHAnsi"/>
          <w:sz w:val="24"/>
        </w:rPr>
        <w:t>In the Pacific Rim, Australia was among the standouts, gaining 2.11 percent. Hong Kong lost 1.11 percent, and Japan dropped 0.53 percent</w:t>
      </w:r>
      <w:r w:rsidRPr="0009142F">
        <w:rPr>
          <w:rStyle w:val="st"/>
          <w:rFonts w:asciiTheme="majorHAnsi" w:hAnsiTheme="majorHAnsi"/>
          <w:sz w:val="24"/>
        </w:rPr>
        <w:t>.</w:t>
      </w:r>
      <w:r w:rsidRPr="0009142F">
        <w:rPr>
          <w:rStyle w:val="st"/>
          <w:rFonts w:asciiTheme="majorHAnsi" w:hAnsiTheme="majorHAnsi"/>
          <w:sz w:val="24"/>
          <w:vertAlign w:val="superscript"/>
        </w:rPr>
        <w:t>8</w:t>
      </w:r>
    </w:p>
    <w:p w14:paraId="17C9E440" w14:textId="77777777" w:rsidR="00AF2FAA" w:rsidRPr="007A5A6C" w:rsidRDefault="008D1707" w:rsidP="00AF2FAA">
      <w:pPr>
        <w:spacing w:line="276" w:lineRule="auto"/>
        <w:rPr>
          <w:rFonts w:asciiTheme="majorHAnsi" w:hAnsiTheme="majorHAnsi"/>
          <w:b/>
          <w:spacing w:val="-2"/>
          <w:sz w:val="28"/>
        </w:rPr>
      </w:pPr>
      <w:r w:rsidRPr="00AF2FAA">
        <w:rPr>
          <w:rFonts w:asciiTheme="majorHAnsi" w:hAnsiTheme="majorHAnsi"/>
          <w:b/>
          <w:color w:val="3E7BB6"/>
          <w:spacing w:val="-2"/>
          <w:sz w:val="28"/>
        </w:rPr>
        <w:t>Indicators</w:t>
      </w:r>
    </w:p>
    <w:p w14:paraId="374632BC" w14:textId="77777777" w:rsidR="001E7125" w:rsidRPr="001E7125" w:rsidRDefault="008D1707" w:rsidP="001E7125">
      <w:pPr>
        <w:spacing w:line="276" w:lineRule="auto"/>
        <w:rPr>
          <w:rStyle w:val="st"/>
          <w:rFonts w:asciiTheme="majorHAnsi" w:hAnsiTheme="majorHAnsi"/>
          <w:sz w:val="24"/>
        </w:rPr>
      </w:pPr>
      <w:r w:rsidRPr="001E7125">
        <w:rPr>
          <w:rStyle w:val="st"/>
          <w:rFonts w:asciiTheme="majorHAnsi" w:hAnsiTheme="majorHAnsi"/>
          <w:b/>
          <w:bCs/>
          <w:sz w:val="24"/>
        </w:rPr>
        <w:t>Gross Domestic Product:</w:t>
      </w:r>
      <w:r w:rsidRPr="001E7125">
        <w:rPr>
          <w:rStyle w:val="st"/>
          <w:rFonts w:asciiTheme="majorHAnsi" w:hAnsiTheme="majorHAnsi"/>
          <w:sz w:val="24"/>
        </w:rPr>
        <w:t xml:space="preserve"> </w:t>
      </w:r>
      <w:r w:rsidRPr="0009142F">
        <w:rPr>
          <w:rStyle w:val="st"/>
          <w:rFonts w:asciiTheme="majorHAnsi" w:hAnsiTheme="majorHAnsi"/>
          <w:sz w:val="24"/>
        </w:rPr>
        <w:t>The final reading of first-quarter GDP growth was unchanged at 6.4 percent.</w:t>
      </w:r>
      <w:r w:rsidRPr="0009142F">
        <w:rPr>
          <w:rStyle w:val="st"/>
          <w:rFonts w:asciiTheme="majorHAnsi" w:hAnsiTheme="majorHAnsi"/>
          <w:sz w:val="24"/>
          <w:vertAlign w:val="superscript"/>
        </w:rPr>
        <w:t>9</w:t>
      </w:r>
    </w:p>
    <w:p w14:paraId="1B1514B7" w14:textId="77777777" w:rsidR="001E7125" w:rsidRPr="001E7125" w:rsidRDefault="008D1707" w:rsidP="001E7125">
      <w:pPr>
        <w:spacing w:line="276" w:lineRule="auto"/>
        <w:rPr>
          <w:rStyle w:val="st"/>
          <w:rFonts w:asciiTheme="majorHAnsi" w:hAnsiTheme="majorHAnsi"/>
          <w:sz w:val="24"/>
        </w:rPr>
      </w:pPr>
      <w:r w:rsidRPr="001E7125">
        <w:rPr>
          <w:rStyle w:val="st"/>
          <w:rFonts w:asciiTheme="majorHAnsi" w:hAnsiTheme="majorHAnsi"/>
          <w:b/>
          <w:bCs/>
          <w:sz w:val="24"/>
        </w:rPr>
        <w:t>Employment:</w:t>
      </w:r>
      <w:r w:rsidRPr="001E7125">
        <w:rPr>
          <w:rStyle w:val="st"/>
          <w:rFonts w:asciiTheme="majorHAnsi" w:hAnsiTheme="majorHAnsi"/>
          <w:sz w:val="24"/>
        </w:rPr>
        <w:t xml:space="preserve"> </w:t>
      </w:r>
      <w:r w:rsidRPr="0009142F">
        <w:rPr>
          <w:rStyle w:val="st"/>
          <w:rFonts w:asciiTheme="majorHAnsi" w:hAnsiTheme="majorHAnsi"/>
          <w:sz w:val="24"/>
        </w:rPr>
        <w:t>Nonfarm payrolls increased by 559,000, dropping the unemployment rate to 5.8 percent. The leisure and hospitality sector experien</w:t>
      </w:r>
      <w:r w:rsidRPr="0009142F">
        <w:rPr>
          <w:rStyle w:val="st"/>
          <w:rFonts w:asciiTheme="majorHAnsi" w:hAnsiTheme="majorHAnsi"/>
          <w:sz w:val="24"/>
        </w:rPr>
        <w:t>ced the largest gain, with 292,000 jobs added.</w:t>
      </w:r>
      <w:r w:rsidRPr="0009142F">
        <w:rPr>
          <w:rStyle w:val="st"/>
          <w:rFonts w:asciiTheme="majorHAnsi" w:hAnsiTheme="majorHAnsi"/>
          <w:sz w:val="24"/>
          <w:vertAlign w:val="superscript"/>
        </w:rPr>
        <w:t>10</w:t>
      </w:r>
    </w:p>
    <w:p w14:paraId="12C86FB9" w14:textId="77777777" w:rsidR="001E7125" w:rsidRPr="001E7125" w:rsidRDefault="008D1707" w:rsidP="001E7125">
      <w:pPr>
        <w:spacing w:line="276" w:lineRule="auto"/>
        <w:rPr>
          <w:rStyle w:val="st"/>
          <w:rFonts w:asciiTheme="majorHAnsi" w:hAnsiTheme="majorHAnsi"/>
          <w:sz w:val="24"/>
        </w:rPr>
      </w:pPr>
      <w:r w:rsidRPr="001E7125">
        <w:rPr>
          <w:rStyle w:val="st"/>
          <w:rFonts w:asciiTheme="majorHAnsi" w:hAnsiTheme="majorHAnsi"/>
          <w:b/>
          <w:bCs/>
          <w:sz w:val="24"/>
        </w:rPr>
        <w:t>Retail Sales:</w:t>
      </w:r>
      <w:r w:rsidRPr="001E7125">
        <w:rPr>
          <w:rStyle w:val="st"/>
          <w:rFonts w:asciiTheme="majorHAnsi" w:hAnsiTheme="majorHAnsi"/>
          <w:sz w:val="24"/>
        </w:rPr>
        <w:t xml:space="preserve"> </w:t>
      </w:r>
      <w:r w:rsidRPr="0009142F">
        <w:rPr>
          <w:rStyle w:val="st"/>
          <w:rFonts w:asciiTheme="majorHAnsi" w:hAnsiTheme="majorHAnsi"/>
          <w:sz w:val="24"/>
        </w:rPr>
        <w:t>Retail sales declined 1.3 percent in May as consumers shifted their spending from goods to services such as airline travel.</w:t>
      </w:r>
      <w:r w:rsidRPr="0009142F">
        <w:rPr>
          <w:rStyle w:val="st"/>
          <w:rFonts w:asciiTheme="majorHAnsi" w:hAnsiTheme="majorHAnsi"/>
          <w:sz w:val="24"/>
          <w:vertAlign w:val="superscript"/>
        </w:rPr>
        <w:t>11</w:t>
      </w:r>
    </w:p>
    <w:p w14:paraId="2E72CB5F" w14:textId="77777777" w:rsidR="001E7125" w:rsidRPr="001E7125" w:rsidRDefault="008D1707" w:rsidP="001E7125">
      <w:pPr>
        <w:spacing w:line="276" w:lineRule="auto"/>
        <w:rPr>
          <w:rStyle w:val="st"/>
          <w:rFonts w:asciiTheme="majorHAnsi" w:hAnsiTheme="majorHAnsi"/>
          <w:sz w:val="24"/>
        </w:rPr>
      </w:pPr>
      <w:r w:rsidRPr="001E7125">
        <w:rPr>
          <w:rStyle w:val="st"/>
          <w:rFonts w:asciiTheme="majorHAnsi" w:hAnsiTheme="majorHAnsi"/>
          <w:b/>
          <w:bCs/>
          <w:sz w:val="24"/>
        </w:rPr>
        <w:t>Industrial Production:</w:t>
      </w:r>
      <w:r w:rsidRPr="001E7125">
        <w:rPr>
          <w:rStyle w:val="st"/>
          <w:rFonts w:asciiTheme="majorHAnsi" w:hAnsiTheme="majorHAnsi"/>
          <w:sz w:val="24"/>
        </w:rPr>
        <w:t xml:space="preserve"> </w:t>
      </w:r>
      <w:r w:rsidRPr="0009142F">
        <w:rPr>
          <w:rStyle w:val="st"/>
          <w:rFonts w:asciiTheme="majorHAnsi" w:hAnsiTheme="majorHAnsi"/>
          <w:sz w:val="24"/>
        </w:rPr>
        <w:t>Output at America’s factories, mines, and ut</w:t>
      </w:r>
      <w:r w:rsidRPr="0009142F">
        <w:rPr>
          <w:rStyle w:val="st"/>
          <w:rFonts w:asciiTheme="majorHAnsi" w:hAnsiTheme="majorHAnsi"/>
          <w:sz w:val="24"/>
        </w:rPr>
        <w:t>ilities rose 0.8 percent. It was the third consecutive month of expanded output.</w:t>
      </w:r>
      <w:r w:rsidRPr="0009142F">
        <w:rPr>
          <w:rStyle w:val="st"/>
          <w:rFonts w:asciiTheme="majorHAnsi" w:hAnsiTheme="majorHAnsi"/>
          <w:sz w:val="24"/>
          <w:vertAlign w:val="superscript"/>
        </w:rPr>
        <w:t>12</w:t>
      </w:r>
    </w:p>
    <w:p w14:paraId="04F0DA13" w14:textId="77777777" w:rsidR="0009142F" w:rsidRPr="0009142F" w:rsidRDefault="008D1707" w:rsidP="0009142F">
      <w:pPr>
        <w:spacing w:line="276" w:lineRule="auto"/>
        <w:rPr>
          <w:rStyle w:val="st"/>
          <w:rFonts w:asciiTheme="majorHAnsi" w:hAnsiTheme="majorHAnsi"/>
          <w:sz w:val="24"/>
        </w:rPr>
      </w:pPr>
      <w:r w:rsidRPr="001E7125">
        <w:rPr>
          <w:rStyle w:val="st"/>
          <w:rFonts w:asciiTheme="majorHAnsi" w:hAnsiTheme="majorHAnsi"/>
          <w:b/>
          <w:bCs/>
          <w:sz w:val="24"/>
        </w:rPr>
        <w:t>Housing:</w:t>
      </w:r>
      <w:r w:rsidRPr="001E7125">
        <w:rPr>
          <w:rStyle w:val="st"/>
          <w:rFonts w:asciiTheme="majorHAnsi" w:hAnsiTheme="majorHAnsi"/>
          <w:sz w:val="24"/>
        </w:rPr>
        <w:t xml:space="preserve"> </w:t>
      </w:r>
      <w:r w:rsidRPr="0009142F">
        <w:rPr>
          <w:rStyle w:val="st"/>
          <w:rFonts w:asciiTheme="majorHAnsi" w:hAnsiTheme="majorHAnsi"/>
          <w:sz w:val="24"/>
        </w:rPr>
        <w:t>Housing starts rose 3.6 percent as the high cost of materials hampered activity.</w:t>
      </w:r>
      <w:r w:rsidRPr="0009142F">
        <w:rPr>
          <w:rStyle w:val="st"/>
          <w:rFonts w:asciiTheme="majorHAnsi" w:hAnsiTheme="majorHAnsi"/>
          <w:sz w:val="24"/>
          <w:vertAlign w:val="superscript"/>
        </w:rPr>
        <w:t>13</w:t>
      </w:r>
    </w:p>
    <w:p w14:paraId="26EAC739" w14:textId="77777777" w:rsidR="0009142F" w:rsidRPr="0009142F" w:rsidRDefault="008D1707" w:rsidP="0009142F">
      <w:pPr>
        <w:spacing w:line="276" w:lineRule="auto"/>
        <w:rPr>
          <w:rStyle w:val="st"/>
          <w:rFonts w:asciiTheme="majorHAnsi" w:hAnsiTheme="majorHAnsi"/>
          <w:sz w:val="24"/>
        </w:rPr>
      </w:pPr>
      <w:r w:rsidRPr="0009142F">
        <w:rPr>
          <w:rStyle w:val="st"/>
          <w:rFonts w:asciiTheme="majorHAnsi" w:hAnsiTheme="majorHAnsi"/>
          <w:sz w:val="24"/>
        </w:rPr>
        <w:t>Existing home sales dropped for the fourth consecutive month, sliding 0.9 percent</w:t>
      </w:r>
      <w:r w:rsidRPr="0009142F">
        <w:rPr>
          <w:rStyle w:val="st"/>
          <w:rFonts w:asciiTheme="majorHAnsi" w:hAnsiTheme="majorHAnsi"/>
          <w:sz w:val="24"/>
        </w:rPr>
        <w:t xml:space="preserve"> in May. Inventory shortages and declining affordability continue to weigh on the market.</w:t>
      </w:r>
      <w:r w:rsidRPr="0009142F">
        <w:rPr>
          <w:rStyle w:val="st"/>
          <w:rFonts w:asciiTheme="majorHAnsi" w:hAnsiTheme="majorHAnsi"/>
          <w:sz w:val="24"/>
          <w:vertAlign w:val="superscript"/>
        </w:rPr>
        <w:t>14</w:t>
      </w:r>
    </w:p>
    <w:p w14:paraId="17E991A7" w14:textId="77777777" w:rsidR="001E7125" w:rsidRPr="001E7125" w:rsidRDefault="008D1707" w:rsidP="0009142F">
      <w:pPr>
        <w:spacing w:line="276" w:lineRule="auto"/>
        <w:rPr>
          <w:rStyle w:val="st"/>
          <w:rFonts w:asciiTheme="majorHAnsi" w:hAnsiTheme="majorHAnsi"/>
          <w:sz w:val="24"/>
        </w:rPr>
      </w:pPr>
      <w:r w:rsidRPr="0009142F">
        <w:rPr>
          <w:rStyle w:val="st"/>
          <w:rFonts w:asciiTheme="majorHAnsi" w:hAnsiTheme="majorHAnsi"/>
          <w:sz w:val="24"/>
        </w:rPr>
        <w:t xml:space="preserve"> Sales of new homes fell 5.9 percent as the median sales price rose to a record $374,400.</w:t>
      </w:r>
      <w:r w:rsidRPr="0009142F">
        <w:rPr>
          <w:rStyle w:val="st"/>
          <w:rFonts w:asciiTheme="majorHAnsi" w:hAnsiTheme="majorHAnsi"/>
          <w:sz w:val="24"/>
          <w:vertAlign w:val="superscript"/>
        </w:rPr>
        <w:t>15</w:t>
      </w:r>
    </w:p>
    <w:p w14:paraId="76857321" w14:textId="77777777" w:rsidR="001E7125" w:rsidRPr="001E7125" w:rsidRDefault="008D1707" w:rsidP="001E7125">
      <w:pPr>
        <w:spacing w:line="276" w:lineRule="auto"/>
        <w:rPr>
          <w:rStyle w:val="st"/>
          <w:rFonts w:asciiTheme="majorHAnsi" w:hAnsiTheme="majorHAnsi"/>
          <w:sz w:val="24"/>
        </w:rPr>
      </w:pPr>
      <w:r w:rsidRPr="001E7125">
        <w:rPr>
          <w:rStyle w:val="st"/>
          <w:rFonts w:asciiTheme="majorHAnsi" w:hAnsiTheme="majorHAnsi"/>
          <w:b/>
          <w:bCs/>
          <w:sz w:val="24"/>
        </w:rPr>
        <w:t>Consumer Price Index:</w:t>
      </w:r>
      <w:r w:rsidRPr="001E7125">
        <w:rPr>
          <w:rStyle w:val="st"/>
          <w:rFonts w:asciiTheme="majorHAnsi" w:hAnsiTheme="majorHAnsi"/>
          <w:sz w:val="24"/>
        </w:rPr>
        <w:t xml:space="preserve"> </w:t>
      </w:r>
      <w:r w:rsidRPr="0009142F">
        <w:rPr>
          <w:rStyle w:val="st"/>
          <w:rFonts w:asciiTheme="majorHAnsi" w:hAnsiTheme="majorHAnsi"/>
          <w:sz w:val="24"/>
        </w:rPr>
        <w:t xml:space="preserve">The prices of consumer goods surged in May, </w:t>
      </w:r>
      <w:r w:rsidRPr="0009142F">
        <w:rPr>
          <w:rStyle w:val="st"/>
          <w:rFonts w:asciiTheme="majorHAnsi" w:hAnsiTheme="majorHAnsi"/>
          <w:sz w:val="24"/>
        </w:rPr>
        <w:t>hitting levels not seen in almost 13 years. The CPI rose 0.6 percent from April 2021.</w:t>
      </w:r>
      <w:r w:rsidRPr="0009142F">
        <w:rPr>
          <w:rStyle w:val="st"/>
          <w:rFonts w:asciiTheme="majorHAnsi" w:hAnsiTheme="majorHAnsi"/>
          <w:sz w:val="24"/>
          <w:vertAlign w:val="superscript"/>
        </w:rPr>
        <w:t>16</w:t>
      </w:r>
    </w:p>
    <w:p w14:paraId="789EB36B" w14:textId="77777777" w:rsidR="001E7125" w:rsidRDefault="008D1707" w:rsidP="001E7125">
      <w:pPr>
        <w:spacing w:line="276" w:lineRule="auto"/>
        <w:rPr>
          <w:rStyle w:val="st"/>
          <w:rFonts w:asciiTheme="majorHAnsi" w:hAnsiTheme="majorHAnsi"/>
          <w:sz w:val="24"/>
          <w:vertAlign w:val="superscript"/>
        </w:rPr>
      </w:pPr>
      <w:r w:rsidRPr="001E7125">
        <w:rPr>
          <w:rStyle w:val="st"/>
          <w:rFonts w:asciiTheme="majorHAnsi" w:hAnsiTheme="majorHAnsi"/>
          <w:b/>
          <w:bCs/>
          <w:sz w:val="24"/>
        </w:rPr>
        <w:t>Durable Goods Orders:</w:t>
      </w:r>
      <w:r w:rsidRPr="001E7125">
        <w:rPr>
          <w:rStyle w:val="st"/>
          <w:rFonts w:asciiTheme="majorHAnsi" w:hAnsiTheme="majorHAnsi"/>
          <w:sz w:val="24"/>
        </w:rPr>
        <w:t xml:space="preserve">  </w:t>
      </w:r>
      <w:r w:rsidRPr="0009142F">
        <w:rPr>
          <w:rStyle w:val="st"/>
          <w:rFonts w:asciiTheme="majorHAnsi" w:hAnsiTheme="majorHAnsi"/>
          <w:sz w:val="24"/>
        </w:rPr>
        <w:t>Orders for long-lasting goods rose 2.3 percent, which represented the largest month-over-month gain since July 2020.</w:t>
      </w:r>
      <w:r w:rsidRPr="0009142F">
        <w:rPr>
          <w:rStyle w:val="st"/>
          <w:rFonts w:asciiTheme="majorHAnsi" w:hAnsiTheme="majorHAnsi"/>
          <w:sz w:val="24"/>
          <w:vertAlign w:val="superscript"/>
        </w:rPr>
        <w:t>17</w:t>
      </w:r>
    </w:p>
    <w:p w14:paraId="7B560894" w14:textId="77777777" w:rsidR="00B60BB5" w:rsidRDefault="008D1707"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6FE09EFE" wp14:editId="17406099">
            <wp:extent cx="5825083" cy="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2E940795" w14:textId="77777777" w:rsidR="00B60BB5" w:rsidRPr="00DD38C0" w:rsidRDefault="008D1707" w:rsidP="00B60BB5">
      <w:pPr>
        <w:spacing w:line="276" w:lineRule="auto"/>
        <w:jc w:val="center"/>
        <w:rPr>
          <w:rStyle w:val="st"/>
          <w:rFonts w:asciiTheme="majorHAnsi" w:hAnsiTheme="majorHAnsi"/>
          <w:color w:val="E88E0A"/>
          <w:sz w:val="4"/>
        </w:rPr>
      </w:pPr>
    </w:p>
    <w:p w14:paraId="7FF3B5AB" w14:textId="77777777" w:rsidR="00B60BB5" w:rsidRPr="00CE13AE" w:rsidRDefault="008D1707" w:rsidP="00B60BB5">
      <w:pPr>
        <w:spacing w:line="276" w:lineRule="auto"/>
        <w:jc w:val="center"/>
        <w:rPr>
          <w:rStyle w:val="st"/>
          <w:rFonts w:asciiTheme="majorHAnsi" w:hAnsiTheme="majorHAnsi"/>
          <w:color w:val="3E7BB6"/>
        </w:rPr>
      </w:pPr>
      <w:r w:rsidRPr="00CE13AE">
        <w:rPr>
          <w:rStyle w:val="st"/>
          <w:rFonts w:asciiTheme="majorHAnsi" w:hAnsiTheme="majorHAnsi"/>
          <w:color w:val="3E7BB6"/>
        </w:rPr>
        <w:t>Q U O T E   O F   T H E</w:t>
      </w:r>
      <w:r w:rsidRPr="00CE13AE">
        <w:rPr>
          <w:rStyle w:val="st"/>
          <w:rFonts w:asciiTheme="majorHAnsi" w:hAnsiTheme="majorHAnsi"/>
          <w:color w:val="3E7BB6"/>
        </w:rPr>
        <w:t xml:space="preserve">   </w:t>
      </w:r>
      <w:r>
        <w:rPr>
          <w:rStyle w:val="st"/>
          <w:rFonts w:asciiTheme="majorHAnsi" w:hAnsiTheme="majorHAnsi"/>
          <w:color w:val="3E7BB6"/>
        </w:rPr>
        <w:t>M O N T H</w:t>
      </w:r>
    </w:p>
    <w:p w14:paraId="438D5975" w14:textId="77777777" w:rsidR="00B60BB5" w:rsidRPr="00DD38C0" w:rsidRDefault="008D1707" w:rsidP="00B60BB5">
      <w:pPr>
        <w:spacing w:line="276" w:lineRule="auto"/>
        <w:jc w:val="center"/>
        <w:rPr>
          <w:rStyle w:val="st"/>
          <w:rFonts w:asciiTheme="majorHAnsi" w:hAnsiTheme="majorHAnsi"/>
          <w:sz w:val="4"/>
        </w:rPr>
      </w:pPr>
    </w:p>
    <w:p w14:paraId="20ADAC8E" w14:textId="77777777" w:rsidR="00B60BB5" w:rsidRDefault="008D1707" w:rsidP="00B60BB5">
      <w:pPr>
        <w:spacing w:line="276" w:lineRule="auto"/>
        <w:jc w:val="center"/>
        <w:rPr>
          <w:rStyle w:val="st"/>
          <w:rFonts w:asciiTheme="majorHAnsi" w:hAnsiTheme="majorHAnsi"/>
        </w:rPr>
      </w:pPr>
      <w:r>
        <w:rPr>
          <w:rFonts w:asciiTheme="majorHAnsi" w:hAnsiTheme="majorHAnsi"/>
          <w:noProof/>
        </w:rPr>
        <w:drawing>
          <wp:inline distT="0" distB="0" distL="0" distR="0" wp14:anchorId="1BC69DD5" wp14:editId="2DA1BC76">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14:paraId="41C18F44" w14:textId="77777777" w:rsidR="00B60BB5" w:rsidRPr="00F5056A" w:rsidRDefault="008D1707" w:rsidP="00B60BB5">
      <w:pPr>
        <w:spacing w:line="276" w:lineRule="auto"/>
        <w:jc w:val="center"/>
        <w:rPr>
          <w:rStyle w:val="st"/>
          <w:rFonts w:asciiTheme="majorHAnsi" w:hAnsiTheme="majorHAnsi"/>
          <w:i/>
          <w:sz w:val="36"/>
        </w:rPr>
      </w:pPr>
      <w:r w:rsidRPr="00F5056A">
        <w:rPr>
          <w:rStyle w:val="st"/>
          <w:rFonts w:asciiTheme="majorHAnsi" w:hAnsiTheme="majorHAnsi"/>
          <w:i/>
          <w:sz w:val="36"/>
        </w:rPr>
        <w:t>“</w:t>
      </w:r>
      <w:r w:rsidRPr="0009142F">
        <w:rPr>
          <w:rStyle w:val="st"/>
          <w:rFonts w:asciiTheme="majorHAnsi" w:hAnsiTheme="majorHAnsi"/>
          <w:i/>
          <w:sz w:val="36"/>
        </w:rPr>
        <w:t>Never be limited by other people’s limited imaginations</w:t>
      </w:r>
      <w:r w:rsidRPr="00F5056A">
        <w:rPr>
          <w:rStyle w:val="st"/>
          <w:rFonts w:asciiTheme="majorHAnsi" w:hAnsiTheme="majorHAnsi"/>
          <w:b/>
          <w:i/>
          <w:sz w:val="36"/>
        </w:rPr>
        <w:t>.</w:t>
      </w:r>
      <w:r w:rsidRPr="00F5056A">
        <w:rPr>
          <w:rStyle w:val="st"/>
          <w:rFonts w:asciiTheme="majorHAnsi" w:hAnsiTheme="majorHAnsi"/>
          <w:i/>
          <w:sz w:val="36"/>
        </w:rPr>
        <w:t>”</w:t>
      </w:r>
    </w:p>
    <w:p w14:paraId="39A1E8B6" w14:textId="77777777" w:rsidR="00B60BB5" w:rsidRPr="00825DF7" w:rsidRDefault="008D1707" w:rsidP="00B60BB5">
      <w:pPr>
        <w:spacing w:line="276" w:lineRule="auto"/>
        <w:jc w:val="center"/>
        <w:rPr>
          <w:rStyle w:val="st"/>
          <w:rFonts w:asciiTheme="majorHAnsi" w:hAnsiTheme="majorHAnsi"/>
          <w:caps/>
          <w:color w:val="3E7BB6"/>
          <w:sz w:val="24"/>
        </w:rPr>
      </w:pPr>
      <w:r>
        <w:rPr>
          <w:rStyle w:val="st"/>
          <w:rFonts w:asciiTheme="majorHAnsi" w:hAnsiTheme="majorHAnsi"/>
          <w:i/>
          <w:caps/>
          <w:color w:val="3E7BB6"/>
        </w:rPr>
        <w:t>DR. MAE J</w:t>
      </w:r>
      <w:r w:rsidRPr="0009142F">
        <w:rPr>
          <w:rStyle w:val="st"/>
          <w:rFonts w:asciiTheme="majorHAnsi" w:hAnsiTheme="majorHAnsi"/>
          <w:i/>
          <w:caps/>
          <w:color w:val="3E7BB6"/>
        </w:rPr>
        <w:t>emison</w:t>
      </w:r>
    </w:p>
    <w:p w14:paraId="13697320" w14:textId="77777777" w:rsidR="00B60BB5" w:rsidRPr="00DD38C0" w:rsidRDefault="008D1707" w:rsidP="00B60BB5">
      <w:pPr>
        <w:spacing w:line="276" w:lineRule="auto"/>
        <w:jc w:val="center"/>
        <w:rPr>
          <w:rStyle w:val="st"/>
          <w:rFonts w:asciiTheme="majorHAnsi" w:hAnsiTheme="majorHAnsi"/>
          <w:i/>
          <w:color w:val="E88E0A"/>
          <w:sz w:val="4"/>
        </w:rPr>
      </w:pPr>
    </w:p>
    <w:p w14:paraId="4F724068" w14:textId="77777777" w:rsidR="00B60BB5" w:rsidRDefault="008D1707" w:rsidP="00B60BB5">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30C7CAAB" wp14:editId="7BB6C6C1">
            <wp:extent cx="5825083" cy="26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6D1DAEF2" w14:textId="77777777" w:rsidR="00B60BB5" w:rsidRDefault="008D1707" w:rsidP="001E7125">
      <w:pPr>
        <w:spacing w:line="276" w:lineRule="auto"/>
        <w:rPr>
          <w:rStyle w:val="st"/>
          <w:rFonts w:asciiTheme="majorHAnsi" w:hAnsiTheme="majorHAnsi"/>
          <w:sz w:val="24"/>
        </w:rPr>
      </w:pPr>
    </w:p>
    <w:p w14:paraId="26CD5999" w14:textId="77777777" w:rsidR="001E7125" w:rsidRPr="007A5A6C" w:rsidRDefault="008D1707" w:rsidP="001E7125">
      <w:pPr>
        <w:spacing w:line="276" w:lineRule="auto"/>
        <w:rPr>
          <w:rFonts w:asciiTheme="majorHAnsi" w:hAnsiTheme="majorHAnsi"/>
          <w:b/>
          <w:spacing w:val="-2"/>
          <w:sz w:val="28"/>
        </w:rPr>
      </w:pPr>
      <w:r w:rsidRPr="001E7125">
        <w:rPr>
          <w:rFonts w:asciiTheme="majorHAnsi" w:hAnsiTheme="majorHAnsi"/>
          <w:b/>
          <w:color w:val="3E7BB6"/>
          <w:spacing w:val="-2"/>
          <w:sz w:val="28"/>
        </w:rPr>
        <w:t>The Fed</w:t>
      </w:r>
    </w:p>
    <w:p w14:paraId="2EF31AC6" w14:textId="77777777" w:rsidR="0009142F" w:rsidRPr="0009142F" w:rsidRDefault="008D1707" w:rsidP="0009142F">
      <w:pPr>
        <w:spacing w:line="276" w:lineRule="auto"/>
        <w:rPr>
          <w:rStyle w:val="st"/>
          <w:rFonts w:asciiTheme="majorHAnsi" w:hAnsiTheme="majorHAnsi"/>
          <w:sz w:val="24"/>
        </w:rPr>
      </w:pPr>
      <w:r w:rsidRPr="0009142F">
        <w:rPr>
          <w:rStyle w:val="st"/>
          <w:rFonts w:asciiTheme="majorHAnsi" w:hAnsiTheme="majorHAnsi"/>
          <w:sz w:val="24"/>
        </w:rPr>
        <w:t xml:space="preserve">Following its June meeting, the Federal Open Market Committee indicated that two interest rate hikes in 2023 were likely. The Fed also raised its </w:t>
      </w:r>
      <w:r w:rsidRPr="0009142F">
        <w:rPr>
          <w:rStyle w:val="st"/>
          <w:rFonts w:asciiTheme="majorHAnsi" w:hAnsiTheme="majorHAnsi"/>
          <w:sz w:val="24"/>
        </w:rPr>
        <w:t>inflation expectations to 3.4 percent, up from its March projection of 2.4 percent.</w:t>
      </w:r>
      <w:r w:rsidRPr="0009142F">
        <w:rPr>
          <w:rStyle w:val="st"/>
          <w:rFonts w:asciiTheme="majorHAnsi" w:hAnsiTheme="majorHAnsi"/>
          <w:sz w:val="24"/>
          <w:vertAlign w:val="superscript"/>
        </w:rPr>
        <w:t>18</w:t>
      </w:r>
    </w:p>
    <w:p w14:paraId="3F56EFC0" w14:textId="77777777" w:rsidR="00775662" w:rsidRPr="00EF31D3" w:rsidRDefault="008D1707" w:rsidP="0009142F">
      <w:pPr>
        <w:spacing w:line="276" w:lineRule="auto"/>
        <w:rPr>
          <w:rStyle w:val="st"/>
          <w:rFonts w:asciiTheme="majorHAnsi" w:hAnsiTheme="majorHAnsi"/>
          <w:sz w:val="24"/>
        </w:rPr>
      </w:pPr>
      <w:r w:rsidRPr="0009142F">
        <w:rPr>
          <w:rStyle w:val="st"/>
          <w:rFonts w:asciiTheme="majorHAnsi" w:hAnsiTheme="majorHAnsi"/>
          <w:sz w:val="24"/>
        </w:rPr>
        <w:t xml:space="preserve">However, Fed officials continue to maintain that price increases will be transitory even though there has been no indication of when or by how much the Fed may begin </w:t>
      </w:r>
      <w:r w:rsidRPr="0009142F">
        <w:rPr>
          <w:rStyle w:val="st"/>
          <w:rFonts w:asciiTheme="majorHAnsi" w:hAnsiTheme="majorHAnsi"/>
          <w:sz w:val="24"/>
        </w:rPr>
        <w:t>tapering its monthly bond purchases.</w:t>
      </w:r>
      <w:r w:rsidRPr="0009142F">
        <w:rPr>
          <w:rStyle w:val="st"/>
          <w:rFonts w:asciiTheme="majorHAnsi" w:hAnsiTheme="majorHAnsi"/>
          <w:sz w:val="24"/>
          <w:vertAlign w:val="superscript"/>
        </w:rPr>
        <w:t>18</w:t>
      </w:r>
    </w:p>
    <w:tbl>
      <w:tblPr>
        <w:tblW w:w="4943" w:type="pct"/>
        <w:jc w:val="center"/>
        <w:tblLook w:val="04A0" w:firstRow="1" w:lastRow="0" w:firstColumn="1" w:lastColumn="0" w:noHBand="0" w:noVBand="1"/>
      </w:tblPr>
      <w:tblGrid>
        <w:gridCol w:w="3037"/>
        <w:gridCol w:w="3038"/>
        <w:gridCol w:w="3036"/>
      </w:tblGrid>
      <w:tr w:rsidR="00631B0A" w14:paraId="61EAD50C" w14:textId="77777777" w:rsidTr="00B60BB5">
        <w:trPr>
          <w:trHeight w:val="402"/>
          <w:jc w:val="center"/>
        </w:trPr>
        <w:tc>
          <w:tcPr>
            <w:tcW w:w="1667" w:type="pct"/>
            <w:tcBorders>
              <w:top w:val="nil"/>
              <w:left w:val="nil"/>
              <w:bottom w:val="nil"/>
              <w:right w:val="nil"/>
            </w:tcBorders>
            <w:shd w:val="clear" w:color="auto" w:fill="auto"/>
            <w:vAlign w:val="center"/>
            <w:hideMark/>
          </w:tcPr>
          <w:p w14:paraId="05388014" w14:textId="77777777" w:rsidR="00B60BB5" w:rsidRPr="006D5A63" w:rsidRDefault="008D1707" w:rsidP="00B60BB5">
            <w:pPr>
              <w:spacing w:after="0" w:line="276" w:lineRule="auto"/>
              <w:jc w:val="center"/>
              <w:rPr>
                <w:rFonts w:ascii="Calibri Light" w:eastAsia="Times New Roman" w:hAnsi="Calibri Light" w:cs="Times New Roman"/>
                <w:b/>
                <w:bCs/>
                <w:color w:val="F9BC50"/>
                <w:szCs w:val="20"/>
              </w:rPr>
            </w:pPr>
            <w:sdt>
              <w:sdtPr>
                <w:tag w:val="goog_rdk_5"/>
                <w:id w:val="-1089692580"/>
                <w:showingPlcHdr/>
              </w:sdtPr>
              <w:sdtEndPr/>
              <w:sdtContent>
                <w:r>
                  <w:t xml:space="preserve">     </w:t>
                </w:r>
              </w:sdtContent>
            </w:sdt>
            <w:r>
              <w:rPr>
                <w:b/>
                <w:color w:val="3E7BB6"/>
              </w:rPr>
              <w:t>MARKET INDEX</w:t>
            </w:r>
          </w:p>
        </w:tc>
        <w:tc>
          <w:tcPr>
            <w:tcW w:w="1667" w:type="pct"/>
            <w:tcBorders>
              <w:top w:val="nil"/>
              <w:left w:val="nil"/>
              <w:bottom w:val="nil"/>
              <w:right w:val="nil"/>
            </w:tcBorders>
            <w:shd w:val="clear" w:color="auto" w:fill="auto"/>
            <w:vAlign w:val="center"/>
            <w:hideMark/>
          </w:tcPr>
          <w:p w14:paraId="6396453F" w14:textId="77777777" w:rsidR="00B60BB5" w:rsidRPr="006D5A63" w:rsidRDefault="008D1707" w:rsidP="00B60BB5">
            <w:pPr>
              <w:spacing w:after="0" w:line="276" w:lineRule="auto"/>
              <w:jc w:val="center"/>
              <w:rPr>
                <w:rFonts w:ascii="Calibri Light" w:eastAsia="Times New Roman" w:hAnsi="Calibri Light" w:cs="Times New Roman"/>
                <w:b/>
                <w:bCs/>
                <w:color w:val="F9BC50"/>
                <w:szCs w:val="20"/>
              </w:rPr>
            </w:pPr>
            <w:r>
              <w:rPr>
                <w:b/>
                <w:color w:val="3E7BB6"/>
              </w:rPr>
              <w:t>Y-T-D CHANGE</w:t>
            </w:r>
          </w:p>
        </w:tc>
        <w:tc>
          <w:tcPr>
            <w:tcW w:w="1666" w:type="pct"/>
            <w:tcBorders>
              <w:top w:val="nil"/>
              <w:left w:val="nil"/>
              <w:bottom w:val="nil"/>
              <w:right w:val="nil"/>
            </w:tcBorders>
            <w:shd w:val="clear" w:color="auto" w:fill="auto"/>
            <w:vAlign w:val="center"/>
            <w:hideMark/>
          </w:tcPr>
          <w:p w14:paraId="16EB74C1" w14:textId="77777777" w:rsidR="00B60BB5" w:rsidRPr="006D5A63" w:rsidRDefault="008D1707" w:rsidP="00B60BB5">
            <w:pPr>
              <w:spacing w:after="0" w:line="276" w:lineRule="auto"/>
              <w:jc w:val="center"/>
              <w:rPr>
                <w:rFonts w:ascii="Calibri Light" w:eastAsia="Times New Roman" w:hAnsi="Calibri Light" w:cs="Times New Roman"/>
                <w:b/>
                <w:bCs/>
                <w:color w:val="F9BC50"/>
                <w:szCs w:val="20"/>
              </w:rPr>
            </w:pPr>
            <w:r w:rsidRPr="0009142F">
              <w:rPr>
                <w:b/>
                <w:color w:val="3E7BB6"/>
              </w:rPr>
              <w:t>June 2021</w:t>
            </w:r>
          </w:p>
        </w:tc>
      </w:tr>
      <w:tr w:rsidR="00631B0A" w14:paraId="7473C2F3"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8FC0B66" w14:textId="77777777" w:rsidR="00B60BB5" w:rsidRPr="006D5A63" w:rsidRDefault="008D1707" w:rsidP="00B60BB5">
            <w:pPr>
              <w:spacing w:after="0" w:line="276" w:lineRule="auto"/>
              <w:jc w:val="center"/>
              <w:rPr>
                <w:rFonts w:ascii="Calibri Light" w:eastAsia="Times New Roman" w:hAnsi="Calibri Light" w:cs="Times New Roman"/>
                <w:color w:val="000000"/>
                <w:szCs w:val="20"/>
              </w:rPr>
            </w:pPr>
            <w:sdt>
              <w:sdtPr>
                <w:tag w:val="goog_rdk_6"/>
                <w:id w:val="127053967"/>
              </w:sdtPr>
              <w:sdtEndPr/>
              <w:sdtContent/>
            </w:sdt>
            <w:r>
              <w:rPr>
                <w:color w:val="000000"/>
              </w:rPr>
              <w:t>DJIA</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484DF9F5" w14:textId="77777777" w:rsidR="00B60BB5" w:rsidRPr="00253458" w:rsidRDefault="008D1707" w:rsidP="00B60BB5">
            <w:pPr>
              <w:spacing w:after="0" w:line="276" w:lineRule="auto"/>
              <w:jc w:val="center"/>
              <w:rPr>
                <w:rFonts w:ascii="Calibri Light" w:eastAsia="Times New Roman" w:hAnsi="Calibri Light" w:cs="Times New Roman"/>
                <w:szCs w:val="20"/>
              </w:rPr>
            </w:pPr>
            <w:r w:rsidRPr="0009142F">
              <w:t>12.73</w:t>
            </w:r>
            <w:r>
              <w:t>%</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727B04CB" w14:textId="77777777" w:rsidR="00B60BB5" w:rsidRPr="00253458" w:rsidRDefault="008D1707" w:rsidP="00B60BB5">
            <w:pPr>
              <w:spacing w:after="0" w:line="276" w:lineRule="auto"/>
              <w:jc w:val="center"/>
              <w:rPr>
                <w:rFonts w:ascii="Calibri Light" w:eastAsia="Times New Roman" w:hAnsi="Calibri Light" w:cs="Times New Roman"/>
                <w:szCs w:val="20"/>
              </w:rPr>
            </w:pPr>
            <w:r w:rsidRPr="009D0FFB">
              <w:t>-0.07</w:t>
            </w:r>
            <w:r>
              <w:t>%</w:t>
            </w:r>
          </w:p>
        </w:tc>
      </w:tr>
      <w:tr w:rsidR="00631B0A" w14:paraId="7B09BF52"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180AD100" w14:textId="77777777" w:rsidR="00B60BB5" w:rsidRPr="006D5A63" w:rsidRDefault="008D1707" w:rsidP="00B60BB5">
            <w:pPr>
              <w:spacing w:after="0" w:line="276" w:lineRule="auto"/>
              <w:jc w:val="center"/>
              <w:rPr>
                <w:rFonts w:ascii="Calibri Light" w:eastAsia="Times New Roman" w:hAnsi="Calibri Light" w:cs="Times New Roman"/>
                <w:color w:val="000000"/>
                <w:szCs w:val="20"/>
              </w:rPr>
            </w:pPr>
            <w:sdt>
              <w:sdtPr>
                <w:tag w:val="goog_rdk_7"/>
                <w:id w:val="-1174564592"/>
              </w:sdtPr>
              <w:sdtEndPr/>
              <w:sdtContent/>
            </w:sdt>
            <w:r>
              <w:rPr>
                <w:color w:val="000000"/>
              </w:rPr>
              <w:t>NASDAQ</w:t>
            </w:r>
          </w:p>
        </w:tc>
        <w:tc>
          <w:tcPr>
            <w:tcW w:w="1667" w:type="pct"/>
            <w:tcBorders>
              <w:top w:val="nil"/>
              <w:left w:val="nil"/>
              <w:bottom w:val="single" w:sz="4" w:space="0" w:color="A5A5A5"/>
              <w:right w:val="single" w:sz="4" w:space="0" w:color="A5A5A5"/>
            </w:tcBorders>
            <w:shd w:val="clear" w:color="000000" w:fill="F2F2F2"/>
            <w:vAlign w:val="center"/>
            <w:hideMark/>
          </w:tcPr>
          <w:p w14:paraId="7200B60D" w14:textId="77777777" w:rsidR="00B60BB5" w:rsidRPr="00253458" w:rsidRDefault="008D1707" w:rsidP="00B60BB5">
            <w:pPr>
              <w:spacing w:after="0" w:line="276" w:lineRule="auto"/>
              <w:jc w:val="center"/>
              <w:rPr>
                <w:rFonts w:ascii="Calibri Light" w:eastAsia="Times New Roman" w:hAnsi="Calibri Light" w:cs="Times New Roman"/>
                <w:szCs w:val="20"/>
              </w:rPr>
            </w:pPr>
            <w:r w:rsidRPr="009D0FFB">
              <w:t>12.54</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205514C0" w14:textId="77777777" w:rsidR="00B60BB5" w:rsidRPr="00253458" w:rsidRDefault="008D1707" w:rsidP="00B60BB5">
            <w:pPr>
              <w:spacing w:after="0" w:line="276" w:lineRule="auto"/>
              <w:jc w:val="center"/>
              <w:rPr>
                <w:rFonts w:ascii="Calibri Light" w:eastAsia="Times New Roman" w:hAnsi="Calibri Light" w:cs="Times New Roman"/>
                <w:szCs w:val="20"/>
              </w:rPr>
            </w:pPr>
            <w:r w:rsidRPr="009D0FFB">
              <w:t>5.49</w:t>
            </w:r>
            <w:r>
              <w:t>%</w:t>
            </w:r>
          </w:p>
        </w:tc>
      </w:tr>
      <w:tr w:rsidR="00631B0A" w14:paraId="48CE832A" w14:textId="77777777" w:rsidTr="00B60BB5">
        <w:trPr>
          <w:trHeight w:val="402"/>
          <w:jc w:val="center"/>
        </w:trPr>
        <w:tc>
          <w:tcPr>
            <w:tcW w:w="1667" w:type="pct"/>
            <w:tcBorders>
              <w:top w:val="nil"/>
              <w:left w:val="single" w:sz="4" w:space="0" w:color="A5A5A5"/>
              <w:bottom w:val="single" w:sz="4" w:space="0" w:color="A5A5A5"/>
              <w:right w:val="single" w:sz="4" w:space="0" w:color="A5A5A5"/>
            </w:tcBorders>
            <w:shd w:val="clear" w:color="000000" w:fill="F2F2F2"/>
            <w:vAlign w:val="center"/>
            <w:hideMark/>
          </w:tcPr>
          <w:p w14:paraId="3FFDA81F" w14:textId="77777777" w:rsidR="00B60BB5" w:rsidRPr="006D5A63" w:rsidRDefault="008D1707" w:rsidP="00B60BB5">
            <w:pPr>
              <w:spacing w:after="0" w:line="276" w:lineRule="auto"/>
              <w:jc w:val="center"/>
              <w:rPr>
                <w:rFonts w:ascii="Calibri Light" w:eastAsia="Times New Roman" w:hAnsi="Calibri Light" w:cs="Times New Roman"/>
                <w:color w:val="000000"/>
                <w:szCs w:val="20"/>
              </w:rPr>
            </w:pPr>
            <w:sdt>
              <w:sdtPr>
                <w:tag w:val="goog_rdk_8"/>
                <w:id w:val="-2058466190"/>
              </w:sdtPr>
              <w:sdtEndPr/>
              <w:sdtContent/>
            </w:sdt>
            <w:r>
              <w:rPr>
                <w:color w:val="000000"/>
              </w:rPr>
              <w:t>S&amp;P 500</w:t>
            </w:r>
          </w:p>
        </w:tc>
        <w:tc>
          <w:tcPr>
            <w:tcW w:w="1667" w:type="pct"/>
            <w:tcBorders>
              <w:top w:val="nil"/>
              <w:left w:val="nil"/>
              <w:bottom w:val="single" w:sz="4" w:space="0" w:color="A5A5A5"/>
              <w:right w:val="single" w:sz="4" w:space="0" w:color="A5A5A5"/>
            </w:tcBorders>
            <w:shd w:val="clear" w:color="000000" w:fill="F2F2F2"/>
            <w:vAlign w:val="center"/>
            <w:hideMark/>
          </w:tcPr>
          <w:p w14:paraId="01278681" w14:textId="77777777" w:rsidR="00B60BB5" w:rsidRPr="00253458" w:rsidRDefault="008D1707" w:rsidP="00B60BB5">
            <w:pPr>
              <w:spacing w:after="0" w:line="276" w:lineRule="auto"/>
              <w:jc w:val="center"/>
              <w:rPr>
                <w:rFonts w:ascii="Calibri Light" w:eastAsia="Times New Roman" w:hAnsi="Calibri Light" w:cs="Times New Roman"/>
                <w:szCs w:val="20"/>
              </w:rPr>
            </w:pPr>
            <w:r w:rsidRPr="009D0FFB">
              <w:t>14.41</w:t>
            </w:r>
            <w:r>
              <w:t>%</w:t>
            </w:r>
          </w:p>
        </w:tc>
        <w:tc>
          <w:tcPr>
            <w:tcW w:w="1666" w:type="pct"/>
            <w:tcBorders>
              <w:top w:val="nil"/>
              <w:left w:val="nil"/>
              <w:bottom w:val="single" w:sz="4" w:space="0" w:color="A5A5A5"/>
              <w:right w:val="single" w:sz="4" w:space="0" w:color="A5A5A5"/>
            </w:tcBorders>
            <w:shd w:val="clear" w:color="000000" w:fill="F2F2F2"/>
            <w:vAlign w:val="center"/>
            <w:hideMark/>
          </w:tcPr>
          <w:p w14:paraId="645FC326" w14:textId="77777777" w:rsidR="00B60BB5" w:rsidRPr="00253458" w:rsidRDefault="008D1707" w:rsidP="00B60BB5">
            <w:pPr>
              <w:spacing w:after="0" w:line="276" w:lineRule="auto"/>
              <w:jc w:val="center"/>
              <w:rPr>
                <w:rFonts w:ascii="Calibri Light" w:eastAsia="Times New Roman" w:hAnsi="Calibri Light" w:cs="Times New Roman"/>
                <w:szCs w:val="20"/>
              </w:rPr>
            </w:pPr>
            <w:r w:rsidRPr="009D0FFB">
              <w:t>2.22</w:t>
            </w:r>
            <w:r>
              <w:t>%</w:t>
            </w:r>
          </w:p>
        </w:tc>
      </w:tr>
      <w:tr w:rsidR="00631B0A" w14:paraId="6EEC4792" w14:textId="77777777" w:rsidTr="00B60BB5">
        <w:trPr>
          <w:trHeight w:val="402"/>
          <w:jc w:val="center"/>
        </w:trPr>
        <w:tc>
          <w:tcPr>
            <w:tcW w:w="1667" w:type="pct"/>
            <w:tcBorders>
              <w:top w:val="nil"/>
              <w:left w:val="nil"/>
              <w:bottom w:val="nil"/>
              <w:right w:val="nil"/>
            </w:tcBorders>
            <w:shd w:val="clear" w:color="auto" w:fill="auto"/>
            <w:vAlign w:val="center"/>
            <w:hideMark/>
          </w:tcPr>
          <w:p w14:paraId="358AB8F3" w14:textId="77777777" w:rsidR="00B60BB5" w:rsidRPr="006D5A63" w:rsidRDefault="008D1707" w:rsidP="00B60BB5">
            <w:pPr>
              <w:spacing w:after="0" w:line="276" w:lineRule="auto"/>
              <w:jc w:val="center"/>
              <w:rPr>
                <w:rFonts w:ascii="Calibri Light" w:eastAsia="Times New Roman" w:hAnsi="Calibri Light" w:cs="Times New Roman"/>
                <w:color w:val="000000"/>
                <w:szCs w:val="20"/>
              </w:rPr>
            </w:pPr>
            <w:sdt>
              <w:sdtPr>
                <w:tag w:val="goog_rdk_9"/>
                <w:id w:val="1990594216"/>
              </w:sdtPr>
              <w:sdtEndPr/>
              <w:sdtContent/>
            </w:sdt>
          </w:p>
        </w:tc>
        <w:tc>
          <w:tcPr>
            <w:tcW w:w="1667" w:type="pct"/>
            <w:tcBorders>
              <w:top w:val="nil"/>
              <w:left w:val="nil"/>
              <w:bottom w:val="nil"/>
              <w:right w:val="nil"/>
            </w:tcBorders>
            <w:shd w:val="clear" w:color="auto" w:fill="auto"/>
            <w:vAlign w:val="center"/>
            <w:hideMark/>
          </w:tcPr>
          <w:p w14:paraId="25E62230" w14:textId="77777777" w:rsidR="00B60BB5" w:rsidRPr="006D5A63" w:rsidRDefault="008D1707" w:rsidP="00B60BB5">
            <w:pPr>
              <w:spacing w:after="0" w:line="276" w:lineRule="auto"/>
              <w:jc w:val="center"/>
              <w:rPr>
                <w:rFonts w:ascii="Times New Roman" w:eastAsia="Times New Roman" w:hAnsi="Times New Roman" w:cs="Times New Roman"/>
                <w:szCs w:val="20"/>
              </w:rPr>
            </w:pPr>
          </w:p>
        </w:tc>
        <w:tc>
          <w:tcPr>
            <w:tcW w:w="1666" w:type="pct"/>
            <w:tcBorders>
              <w:top w:val="nil"/>
              <w:left w:val="nil"/>
              <w:bottom w:val="nil"/>
              <w:right w:val="nil"/>
            </w:tcBorders>
            <w:shd w:val="clear" w:color="auto" w:fill="auto"/>
            <w:vAlign w:val="center"/>
            <w:hideMark/>
          </w:tcPr>
          <w:p w14:paraId="08BA5219" w14:textId="77777777" w:rsidR="00B60BB5" w:rsidRPr="006D5A63" w:rsidRDefault="008D1707" w:rsidP="00B60BB5">
            <w:pPr>
              <w:spacing w:after="0" w:line="276" w:lineRule="auto"/>
              <w:jc w:val="center"/>
              <w:rPr>
                <w:rFonts w:ascii="Times New Roman" w:eastAsia="Times New Roman" w:hAnsi="Times New Roman" w:cs="Times New Roman"/>
                <w:szCs w:val="20"/>
              </w:rPr>
            </w:pPr>
          </w:p>
        </w:tc>
      </w:tr>
      <w:tr w:rsidR="00631B0A" w14:paraId="39943D73" w14:textId="77777777" w:rsidTr="00B60BB5">
        <w:trPr>
          <w:trHeight w:val="402"/>
          <w:jc w:val="center"/>
        </w:trPr>
        <w:tc>
          <w:tcPr>
            <w:tcW w:w="1667" w:type="pct"/>
            <w:tcBorders>
              <w:top w:val="nil"/>
              <w:left w:val="nil"/>
              <w:bottom w:val="nil"/>
              <w:right w:val="nil"/>
            </w:tcBorders>
            <w:shd w:val="clear" w:color="auto" w:fill="auto"/>
            <w:vAlign w:val="center"/>
            <w:hideMark/>
          </w:tcPr>
          <w:p w14:paraId="7982989B" w14:textId="77777777" w:rsidR="00B60BB5" w:rsidRPr="006D5A63" w:rsidRDefault="008D1707" w:rsidP="00B60BB5">
            <w:pPr>
              <w:spacing w:after="0" w:line="276" w:lineRule="auto"/>
              <w:jc w:val="center"/>
              <w:rPr>
                <w:rFonts w:ascii="Calibri Light" w:eastAsia="Times New Roman" w:hAnsi="Calibri Light" w:cs="Times New Roman"/>
                <w:b/>
                <w:bCs/>
                <w:color w:val="F9BC50"/>
                <w:szCs w:val="20"/>
              </w:rPr>
            </w:pPr>
            <w:sdt>
              <w:sdtPr>
                <w:tag w:val="goog_rdk_10"/>
                <w:id w:val="-1678411629"/>
              </w:sdtPr>
              <w:sdtEndPr/>
              <w:sdtContent/>
            </w:sdt>
            <w:r>
              <w:rPr>
                <w:b/>
                <w:color w:val="3E7BB6"/>
              </w:rPr>
              <w:t>BOND YIELD</w:t>
            </w:r>
          </w:p>
        </w:tc>
        <w:tc>
          <w:tcPr>
            <w:tcW w:w="1667" w:type="pct"/>
            <w:tcBorders>
              <w:top w:val="nil"/>
              <w:left w:val="nil"/>
              <w:bottom w:val="nil"/>
              <w:right w:val="nil"/>
            </w:tcBorders>
            <w:shd w:val="clear" w:color="auto" w:fill="auto"/>
            <w:vAlign w:val="center"/>
            <w:hideMark/>
          </w:tcPr>
          <w:p w14:paraId="22257A28" w14:textId="77777777" w:rsidR="00B60BB5" w:rsidRPr="006D5A63" w:rsidRDefault="008D1707" w:rsidP="00B60BB5">
            <w:pPr>
              <w:spacing w:after="0" w:line="276" w:lineRule="auto"/>
              <w:jc w:val="center"/>
              <w:rPr>
                <w:rFonts w:ascii="Calibri Light" w:eastAsia="Times New Roman" w:hAnsi="Calibri Light" w:cs="Times New Roman"/>
                <w:b/>
                <w:bCs/>
                <w:color w:val="F9BC50"/>
                <w:szCs w:val="20"/>
              </w:rPr>
            </w:pPr>
            <w:r>
              <w:rPr>
                <w:b/>
                <w:color w:val="3E7BB6"/>
              </w:rPr>
              <w:t>Y-T-D</w:t>
            </w:r>
          </w:p>
        </w:tc>
        <w:tc>
          <w:tcPr>
            <w:tcW w:w="1666" w:type="pct"/>
            <w:tcBorders>
              <w:top w:val="nil"/>
              <w:left w:val="nil"/>
              <w:bottom w:val="nil"/>
              <w:right w:val="nil"/>
            </w:tcBorders>
            <w:shd w:val="clear" w:color="auto" w:fill="auto"/>
            <w:vAlign w:val="center"/>
            <w:hideMark/>
          </w:tcPr>
          <w:p w14:paraId="12CC1026" w14:textId="77777777" w:rsidR="00B60BB5" w:rsidRPr="006D5A63" w:rsidRDefault="008D1707" w:rsidP="00B60BB5">
            <w:pPr>
              <w:spacing w:after="0" w:line="276" w:lineRule="auto"/>
              <w:jc w:val="center"/>
              <w:rPr>
                <w:rFonts w:ascii="Calibri Light" w:eastAsia="Times New Roman" w:hAnsi="Calibri Light" w:cs="Times New Roman"/>
                <w:b/>
                <w:bCs/>
                <w:color w:val="F9BC50"/>
                <w:szCs w:val="20"/>
              </w:rPr>
            </w:pPr>
            <w:r w:rsidRPr="0009142F">
              <w:rPr>
                <w:b/>
                <w:color w:val="3E7BB6"/>
              </w:rPr>
              <w:t>June 2021</w:t>
            </w:r>
          </w:p>
        </w:tc>
      </w:tr>
      <w:tr w:rsidR="00631B0A" w14:paraId="233F79B4" w14:textId="77777777" w:rsidTr="00B60BB5">
        <w:trPr>
          <w:trHeight w:val="402"/>
          <w:jc w:val="center"/>
        </w:trPr>
        <w:tc>
          <w:tcPr>
            <w:tcW w:w="1667" w:type="pct"/>
            <w:tcBorders>
              <w:top w:val="single" w:sz="4" w:space="0" w:color="A5A5A5"/>
              <w:left w:val="single" w:sz="4" w:space="0" w:color="A5A5A5"/>
              <w:bottom w:val="single" w:sz="4" w:space="0" w:color="A5A5A5"/>
              <w:right w:val="single" w:sz="4" w:space="0" w:color="A5A5A5"/>
            </w:tcBorders>
            <w:shd w:val="clear" w:color="000000" w:fill="F2F2F2"/>
            <w:vAlign w:val="center"/>
            <w:hideMark/>
          </w:tcPr>
          <w:p w14:paraId="07062EBC" w14:textId="77777777" w:rsidR="00B60BB5" w:rsidRPr="006942AF" w:rsidRDefault="008D1707" w:rsidP="00B60BB5">
            <w:pPr>
              <w:spacing w:after="0" w:line="276" w:lineRule="auto"/>
              <w:jc w:val="center"/>
              <w:rPr>
                <w:rFonts w:ascii="Calibri Light" w:eastAsia="Times New Roman" w:hAnsi="Calibri Light" w:cs="Times New Roman"/>
                <w:szCs w:val="20"/>
              </w:rPr>
            </w:pPr>
            <w:sdt>
              <w:sdtPr>
                <w:tag w:val="goog_rdk_11"/>
                <w:id w:val="1742901077"/>
              </w:sdtPr>
              <w:sdtEndPr/>
              <w:sdtContent/>
            </w:sdt>
            <w:r>
              <w:t>10 YR TREASURY</w:t>
            </w:r>
          </w:p>
        </w:tc>
        <w:tc>
          <w:tcPr>
            <w:tcW w:w="1667" w:type="pct"/>
            <w:tcBorders>
              <w:top w:val="single" w:sz="4" w:space="0" w:color="A5A5A5"/>
              <w:left w:val="nil"/>
              <w:bottom w:val="single" w:sz="4" w:space="0" w:color="A5A5A5"/>
              <w:right w:val="single" w:sz="4" w:space="0" w:color="A5A5A5"/>
            </w:tcBorders>
            <w:shd w:val="clear" w:color="000000" w:fill="F2F2F2"/>
            <w:vAlign w:val="center"/>
            <w:hideMark/>
          </w:tcPr>
          <w:p w14:paraId="133BA07E" w14:textId="77777777" w:rsidR="00B60BB5" w:rsidRPr="006942AF" w:rsidRDefault="008D1707" w:rsidP="00B60BB5">
            <w:pPr>
              <w:spacing w:after="0" w:line="276" w:lineRule="auto"/>
              <w:jc w:val="center"/>
              <w:rPr>
                <w:rFonts w:ascii="Calibri Light" w:eastAsia="Times New Roman" w:hAnsi="Calibri Light" w:cs="Times New Roman"/>
                <w:szCs w:val="20"/>
              </w:rPr>
            </w:pPr>
            <w:r w:rsidRPr="009D0FFB">
              <w:t>0.52</w:t>
            </w:r>
            <w:r>
              <w:t>%</w:t>
            </w:r>
          </w:p>
        </w:tc>
        <w:tc>
          <w:tcPr>
            <w:tcW w:w="1666" w:type="pct"/>
            <w:tcBorders>
              <w:top w:val="single" w:sz="4" w:space="0" w:color="A5A5A5"/>
              <w:left w:val="nil"/>
              <w:bottom w:val="single" w:sz="4" w:space="0" w:color="A5A5A5"/>
              <w:right w:val="single" w:sz="4" w:space="0" w:color="A5A5A5"/>
            </w:tcBorders>
            <w:shd w:val="clear" w:color="000000" w:fill="F2F2F2"/>
            <w:vAlign w:val="center"/>
            <w:hideMark/>
          </w:tcPr>
          <w:p w14:paraId="7188AC1B" w14:textId="77777777" w:rsidR="00B60BB5" w:rsidRPr="006942AF" w:rsidRDefault="008D1707" w:rsidP="00B60BB5">
            <w:pPr>
              <w:spacing w:after="0" w:line="276" w:lineRule="auto"/>
              <w:jc w:val="center"/>
              <w:rPr>
                <w:rFonts w:ascii="Calibri Light" w:eastAsia="Times New Roman" w:hAnsi="Calibri Light" w:cs="Times New Roman"/>
                <w:szCs w:val="20"/>
              </w:rPr>
            </w:pPr>
            <w:r w:rsidRPr="009D0FFB">
              <w:t>1.44</w:t>
            </w:r>
            <w:r>
              <w:t>%</w:t>
            </w:r>
          </w:p>
        </w:tc>
      </w:tr>
    </w:tbl>
    <w:p w14:paraId="552CA576" w14:textId="77777777" w:rsidR="00775662" w:rsidRPr="002D6595" w:rsidRDefault="008D1707" w:rsidP="00EE6BF2">
      <w:pPr>
        <w:spacing w:line="276" w:lineRule="auto"/>
        <w:rPr>
          <w:rStyle w:val="st"/>
          <w:rFonts w:asciiTheme="majorHAnsi" w:hAnsiTheme="majorHAnsi"/>
          <w:color w:val="767171" w:themeColor="background2" w:themeShade="80"/>
          <w:sz w:val="4"/>
        </w:rPr>
      </w:pPr>
      <w:bookmarkStart w:id="1" w:name="_Hlk533682393"/>
      <w:bookmarkStart w:id="2" w:name="_Hlk2838771"/>
    </w:p>
    <w:bookmarkEnd w:id="1"/>
    <w:p w14:paraId="2CD48D1D" w14:textId="77777777" w:rsidR="009D0FFB" w:rsidRPr="009D0FFB" w:rsidRDefault="008D1707" w:rsidP="009D0FFB">
      <w:pPr>
        <w:spacing w:line="276" w:lineRule="auto"/>
        <w:rPr>
          <w:rFonts w:asciiTheme="majorHAnsi" w:hAnsiTheme="majorHAnsi"/>
          <w:color w:val="767171" w:themeColor="background2" w:themeShade="80"/>
          <w:sz w:val="18"/>
          <w:szCs w:val="14"/>
        </w:rPr>
      </w:pPr>
      <w:r w:rsidRPr="006942AF">
        <w:rPr>
          <w:rFonts w:asciiTheme="majorHAnsi" w:hAnsiTheme="majorHAnsi"/>
          <w:color w:val="767171" w:themeColor="background2" w:themeShade="80"/>
          <w:sz w:val="18"/>
          <w:szCs w:val="14"/>
        </w:rPr>
        <w:t xml:space="preserve">Sources: </w:t>
      </w:r>
      <w:bookmarkEnd w:id="2"/>
      <w:r w:rsidRPr="009D0FFB">
        <w:rPr>
          <w:rFonts w:asciiTheme="majorHAnsi" w:hAnsiTheme="majorHAnsi"/>
          <w:color w:val="767171" w:themeColor="background2" w:themeShade="80"/>
          <w:sz w:val="18"/>
          <w:szCs w:val="14"/>
        </w:rPr>
        <w:t xml:space="preserve">Yahoo Finance, June 30, </w:t>
      </w:r>
      <w:r w:rsidRPr="009D0FFB">
        <w:rPr>
          <w:rFonts w:asciiTheme="majorHAnsi" w:hAnsiTheme="majorHAnsi"/>
          <w:color w:val="767171" w:themeColor="background2" w:themeShade="80"/>
          <w:sz w:val="18"/>
          <w:szCs w:val="14"/>
        </w:rPr>
        <w:t>2021</w:t>
      </w:r>
    </w:p>
    <w:p w14:paraId="713664ED" w14:textId="77777777" w:rsidR="00775662" w:rsidRPr="006942AF" w:rsidRDefault="008D1707" w:rsidP="009D0FFB">
      <w:pPr>
        <w:spacing w:line="276" w:lineRule="auto"/>
        <w:rPr>
          <w:rFonts w:asciiTheme="majorHAnsi" w:hAnsiTheme="majorHAnsi" w:cs="Verdana"/>
          <w:iCs/>
          <w:color w:val="767171" w:themeColor="background2" w:themeShade="80"/>
          <w:spacing w:val="-4"/>
          <w:sz w:val="18"/>
          <w:szCs w:val="14"/>
        </w:rPr>
      </w:pPr>
      <w:r w:rsidRPr="009D0FFB">
        <w:rPr>
          <w:rFonts w:asciiTheme="majorHAnsi" w:hAnsiTheme="majorHAnsi"/>
          <w:color w:val="767171" w:themeColor="background2" w:themeShade="80"/>
          <w:sz w:val="18"/>
          <w:szCs w:val="14"/>
        </w:rPr>
        <w:t xml:space="preserve">The market indexes discussed are unmanaged and generally considered representative of their respective markets. Individuals cannot directly invest in unmanaged indexes. Past performance does not guarantee future results. U.S. Treasury Notes are </w:t>
      </w:r>
      <w:r w:rsidRPr="009D0FFB">
        <w:rPr>
          <w:rFonts w:asciiTheme="majorHAnsi" w:hAnsiTheme="majorHAnsi"/>
          <w:color w:val="767171" w:themeColor="background2" w:themeShade="80"/>
          <w:sz w:val="18"/>
          <w:szCs w:val="14"/>
        </w:rPr>
        <w:t>guaranteed by the federal government as to the timely payment of principal and interest. However, if you sell a Treasury Note prior to maturity, it may be worth more or less than the original price paid</w:t>
      </w:r>
      <w:r>
        <w:rPr>
          <w:rFonts w:asciiTheme="majorHAnsi" w:hAnsiTheme="majorHAnsi" w:cs="Verdana"/>
          <w:iCs/>
          <w:color w:val="767171" w:themeColor="background2" w:themeShade="80"/>
          <w:spacing w:val="-4"/>
          <w:sz w:val="18"/>
          <w:szCs w:val="14"/>
        </w:rPr>
        <w:t>.</w:t>
      </w:r>
    </w:p>
    <w:p w14:paraId="4ECADEAB" w14:textId="77777777" w:rsidR="006D5A63" w:rsidRDefault="008D1707" w:rsidP="00826679">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14:anchorId="2DF3C2A4" wp14:editId="7B7ED009">
            <wp:extent cx="5825083" cy="26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57CD28A7" w14:textId="77777777" w:rsidR="006D5A63" w:rsidRPr="00DD38C0" w:rsidRDefault="008D1707" w:rsidP="00EE6BF2">
      <w:pPr>
        <w:spacing w:line="276" w:lineRule="auto"/>
        <w:jc w:val="center"/>
        <w:rPr>
          <w:rStyle w:val="st"/>
          <w:rFonts w:asciiTheme="majorHAnsi" w:hAnsiTheme="majorHAnsi"/>
          <w:color w:val="E88E0A"/>
          <w:sz w:val="4"/>
        </w:rPr>
      </w:pPr>
    </w:p>
    <w:p w14:paraId="749D6309" w14:textId="77777777" w:rsidR="006D5A63" w:rsidRPr="00CE13AE" w:rsidRDefault="008D1707" w:rsidP="00EE6BF2">
      <w:pPr>
        <w:spacing w:line="276" w:lineRule="auto"/>
        <w:jc w:val="center"/>
        <w:rPr>
          <w:rStyle w:val="st"/>
          <w:rFonts w:asciiTheme="majorHAnsi" w:hAnsiTheme="majorHAnsi"/>
          <w:color w:val="3E7BB6"/>
        </w:rPr>
      </w:pPr>
      <w:r w:rsidRPr="00CE13AE">
        <w:rPr>
          <w:rStyle w:val="st"/>
          <w:rFonts w:asciiTheme="majorHAnsi" w:hAnsiTheme="majorHAnsi"/>
          <w:color w:val="3E7BB6"/>
        </w:rPr>
        <w:t xml:space="preserve">T H </w:t>
      </w:r>
      <w:proofErr w:type="gramStart"/>
      <w:r w:rsidRPr="00CE13AE">
        <w:rPr>
          <w:rStyle w:val="st"/>
          <w:rFonts w:asciiTheme="majorHAnsi" w:hAnsiTheme="majorHAnsi"/>
          <w:color w:val="3E7BB6"/>
        </w:rPr>
        <w:t xml:space="preserve">E  </w:t>
      </w:r>
      <w:r>
        <w:rPr>
          <w:rStyle w:val="st"/>
          <w:rFonts w:asciiTheme="majorHAnsi" w:hAnsiTheme="majorHAnsi"/>
          <w:color w:val="3E7BB6"/>
        </w:rPr>
        <w:t>M</w:t>
      </w:r>
      <w:proofErr w:type="gramEnd"/>
      <w:r>
        <w:rPr>
          <w:rStyle w:val="st"/>
          <w:rFonts w:asciiTheme="majorHAnsi" w:hAnsiTheme="majorHAnsi"/>
          <w:color w:val="3E7BB6"/>
        </w:rPr>
        <w:t xml:space="preserve"> O N T H L Y</w:t>
      </w:r>
      <w:r w:rsidRPr="00CE13AE">
        <w:rPr>
          <w:rStyle w:val="st"/>
          <w:rFonts w:asciiTheme="majorHAnsi" w:hAnsiTheme="majorHAnsi"/>
          <w:color w:val="3E7BB6"/>
        </w:rPr>
        <w:t xml:space="preserve">   R I D </w:t>
      </w:r>
      <w:proofErr w:type="spellStart"/>
      <w:r w:rsidRPr="00CE13AE">
        <w:rPr>
          <w:rStyle w:val="st"/>
          <w:rFonts w:asciiTheme="majorHAnsi" w:hAnsiTheme="majorHAnsi"/>
          <w:color w:val="3E7BB6"/>
        </w:rPr>
        <w:t>D</w:t>
      </w:r>
      <w:proofErr w:type="spellEnd"/>
      <w:r w:rsidRPr="00CE13AE">
        <w:rPr>
          <w:rStyle w:val="st"/>
          <w:rFonts w:asciiTheme="majorHAnsi" w:hAnsiTheme="majorHAnsi"/>
          <w:color w:val="3E7BB6"/>
        </w:rPr>
        <w:t xml:space="preserve"> L E</w:t>
      </w:r>
    </w:p>
    <w:p w14:paraId="54ED3E57" w14:textId="77777777" w:rsidR="006D5A63" w:rsidRPr="00DD38C0" w:rsidRDefault="008D1707" w:rsidP="00EE6BF2">
      <w:pPr>
        <w:spacing w:line="276" w:lineRule="auto"/>
        <w:jc w:val="center"/>
        <w:rPr>
          <w:rStyle w:val="st"/>
          <w:rFonts w:asciiTheme="majorHAnsi" w:hAnsiTheme="majorHAnsi"/>
          <w:sz w:val="4"/>
        </w:rPr>
      </w:pPr>
    </w:p>
    <w:p w14:paraId="2C7D6301" w14:textId="77777777" w:rsidR="006D5A63" w:rsidRDefault="008D1707" w:rsidP="00EE6BF2">
      <w:pPr>
        <w:spacing w:line="276" w:lineRule="auto"/>
        <w:jc w:val="center"/>
        <w:rPr>
          <w:rStyle w:val="st"/>
          <w:rFonts w:asciiTheme="majorHAnsi" w:hAnsiTheme="majorHAnsi"/>
        </w:rPr>
      </w:pPr>
      <w:r>
        <w:rPr>
          <w:rFonts w:asciiTheme="majorHAnsi" w:hAnsiTheme="majorHAnsi"/>
          <w:noProof/>
        </w:rPr>
        <w:drawing>
          <wp:inline distT="0" distB="0" distL="0" distR="0" wp14:anchorId="4AFFEDE4" wp14:editId="57563126">
            <wp:extent cx="776034" cy="955119"/>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4" cy="955119"/>
                    </a:xfrm>
                    <a:prstGeom prst="rect">
                      <a:avLst/>
                    </a:prstGeom>
                  </pic:spPr>
                </pic:pic>
              </a:graphicData>
            </a:graphic>
          </wp:inline>
        </w:drawing>
      </w:r>
    </w:p>
    <w:p w14:paraId="614BD735" w14:textId="77777777" w:rsidR="006D5A63" w:rsidRPr="002F292D" w:rsidRDefault="008D1707" w:rsidP="007C4F03">
      <w:pPr>
        <w:spacing w:line="276" w:lineRule="auto"/>
        <w:jc w:val="center"/>
        <w:rPr>
          <w:rStyle w:val="st"/>
          <w:rFonts w:asciiTheme="majorHAnsi" w:hAnsiTheme="majorHAnsi"/>
          <w:i/>
          <w:sz w:val="36"/>
        </w:rPr>
      </w:pPr>
      <w:bookmarkStart w:id="3" w:name="_Hlk533572087"/>
      <w:r w:rsidRPr="009D0FFB">
        <w:rPr>
          <w:rStyle w:val="st"/>
          <w:rFonts w:asciiTheme="majorHAnsi" w:hAnsiTheme="majorHAnsi"/>
          <w:i/>
          <w:sz w:val="36"/>
        </w:rPr>
        <w:t>You stand 8</w:t>
      </w:r>
      <w:r w:rsidRPr="009D0FFB">
        <w:rPr>
          <w:rStyle w:val="st"/>
          <w:rFonts w:asciiTheme="majorHAnsi" w:hAnsiTheme="majorHAnsi"/>
          <w:i/>
          <w:sz w:val="36"/>
        </w:rPr>
        <w:t>’ away from a door. With each move, you advance half the distance to the door. How many moves will it take to reach the door</w:t>
      </w:r>
      <w:r w:rsidRPr="002F292D">
        <w:rPr>
          <w:rStyle w:val="st"/>
          <w:rFonts w:asciiTheme="majorHAnsi" w:hAnsiTheme="majorHAnsi"/>
          <w:i/>
          <w:sz w:val="36"/>
        </w:rPr>
        <w:t>?</w:t>
      </w:r>
    </w:p>
    <w:bookmarkEnd w:id="3"/>
    <w:p w14:paraId="358BEEC9" w14:textId="77777777" w:rsidR="00237981" w:rsidRPr="00DD38C0" w:rsidRDefault="008D1707" w:rsidP="00EE6BF2">
      <w:pPr>
        <w:spacing w:line="276" w:lineRule="auto"/>
        <w:jc w:val="center"/>
        <w:rPr>
          <w:rStyle w:val="st"/>
          <w:rFonts w:asciiTheme="majorHAnsi" w:hAnsiTheme="majorHAnsi"/>
          <w:i/>
          <w:color w:val="A6A6A6" w:themeColor="background1" w:themeShade="A6"/>
          <w:sz w:val="4"/>
        </w:rPr>
      </w:pPr>
    </w:p>
    <w:p w14:paraId="54546963" w14:textId="77777777" w:rsidR="00237981" w:rsidRPr="00DD38C0" w:rsidRDefault="008D1707" w:rsidP="00EE6BF2">
      <w:pPr>
        <w:spacing w:line="276" w:lineRule="auto"/>
        <w:jc w:val="center"/>
        <w:rPr>
          <w:rStyle w:val="st"/>
          <w:rFonts w:asciiTheme="majorHAnsi" w:hAnsiTheme="majorHAnsi"/>
          <w:i/>
          <w:color w:val="646464"/>
        </w:rPr>
      </w:pPr>
      <w:r w:rsidRPr="00DD38C0">
        <w:rPr>
          <w:rStyle w:val="st"/>
          <w:rFonts w:asciiTheme="majorHAnsi" w:hAnsiTheme="majorHAnsi"/>
          <w:i/>
          <w:color w:val="646464"/>
        </w:rPr>
        <w:lastRenderedPageBreak/>
        <w:t xml:space="preserve">LAST </w:t>
      </w:r>
      <w:r>
        <w:rPr>
          <w:rStyle w:val="st"/>
          <w:rFonts w:asciiTheme="majorHAnsi" w:hAnsiTheme="majorHAnsi"/>
          <w:i/>
          <w:color w:val="646464"/>
        </w:rPr>
        <w:t>MONTH</w:t>
      </w:r>
      <w:r w:rsidRPr="00DD38C0">
        <w:rPr>
          <w:rStyle w:val="st"/>
          <w:rFonts w:asciiTheme="majorHAnsi" w:hAnsiTheme="majorHAnsi"/>
          <w:i/>
          <w:color w:val="646464"/>
        </w:rPr>
        <w:t xml:space="preserve">’S RIDDLE: </w:t>
      </w:r>
      <w:r w:rsidRPr="009D0FFB">
        <w:rPr>
          <w:rStyle w:val="st"/>
          <w:rFonts w:asciiTheme="majorHAnsi" w:hAnsiTheme="majorHAnsi"/>
          <w:i/>
          <w:color w:val="646464"/>
        </w:rPr>
        <w:t>A zookeeper</w:t>
      </w:r>
      <w:r w:rsidRPr="009D0FFB">
        <w:rPr>
          <w:rStyle w:val="st"/>
          <w:rFonts w:asciiTheme="majorHAnsi" w:hAnsiTheme="majorHAnsi"/>
          <w:i/>
          <w:color w:val="646464"/>
        </w:rPr>
        <w:t xml:space="preserve"> has a certain number of cages and a certain number of tigers. If she puts one tiger in each cage, she has one tiger too many. If she puts two tigers in each </w:t>
      </w:r>
      <w:proofErr w:type="gramStart"/>
      <w:r w:rsidRPr="009D0FFB">
        <w:rPr>
          <w:rStyle w:val="st"/>
          <w:rFonts w:asciiTheme="majorHAnsi" w:hAnsiTheme="majorHAnsi"/>
          <w:i/>
          <w:color w:val="646464"/>
        </w:rPr>
        <w:t>cage</w:t>
      </w:r>
      <w:proofErr w:type="gramEnd"/>
      <w:r w:rsidRPr="009D0FFB">
        <w:rPr>
          <w:rStyle w:val="st"/>
          <w:rFonts w:asciiTheme="majorHAnsi" w:hAnsiTheme="majorHAnsi"/>
          <w:i/>
          <w:color w:val="646464"/>
        </w:rPr>
        <w:t xml:space="preserve"> she has one cage too many. How many tigers and cages does she have</w:t>
      </w:r>
      <w:r w:rsidRPr="001F3044">
        <w:rPr>
          <w:rStyle w:val="st"/>
          <w:rFonts w:asciiTheme="majorHAnsi" w:hAnsiTheme="majorHAnsi"/>
          <w:i/>
          <w:color w:val="646464"/>
        </w:rPr>
        <w:t>?</w:t>
      </w:r>
    </w:p>
    <w:p w14:paraId="455BE909" w14:textId="77777777" w:rsidR="00237981" w:rsidRPr="00DD38C0" w:rsidRDefault="008D1707" w:rsidP="00EE6BF2">
      <w:pPr>
        <w:spacing w:line="276" w:lineRule="auto"/>
        <w:jc w:val="center"/>
        <w:rPr>
          <w:rStyle w:val="st"/>
          <w:rFonts w:asciiTheme="majorHAnsi" w:hAnsiTheme="majorHAnsi"/>
          <w:i/>
          <w:color w:val="646464"/>
        </w:rPr>
      </w:pPr>
      <w:r>
        <w:rPr>
          <w:rStyle w:val="st"/>
          <w:rFonts w:asciiTheme="majorHAnsi" w:hAnsiTheme="majorHAnsi"/>
          <w:i/>
          <w:color w:val="646464"/>
        </w:rPr>
        <w:t>ANSWER:</w:t>
      </w:r>
      <w:r>
        <w:rPr>
          <w:rStyle w:val="st"/>
          <w:rFonts w:asciiTheme="majorHAnsi" w:hAnsiTheme="majorHAnsi"/>
          <w:i/>
          <w:color w:val="646464"/>
        </w:rPr>
        <w:t xml:space="preserve"> </w:t>
      </w:r>
      <w:bookmarkEnd w:id="0"/>
      <w:r w:rsidRPr="009D0FFB">
        <w:rPr>
          <w:rStyle w:val="st"/>
          <w:rFonts w:asciiTheme="majorHAnsi" w:hAnsiTheme="majorHAnsi"/>
          <w:i/>
          <w:color w:val="646464"/>
        </w:rPr>
        <w:t>She has three cag</w:t>
      </w:r>
      <w:r w:rsidRPr="009D0FFB">
        <w:rPr>
          <w:rStyle w:val="st"/>
          <w:rFonts w:asciiTheme="majorHAnsi" w:hAnsiTheme="majorHAnsi"/>
          <w:i/>
          <w:color w:val="646464"/>
        </w:rPr>
        <w:t>es and four tigers</w:t>
      </w:r>
      <w:r w:rsidRPr="0006123D">
        <w:rPr>
          <w:rStyle w:val="st"/>
          <w:rFonts w:asciiTheme="majorHAnsi" w:hAnsiTheme="majorHAnsi"/>
          <w:i/>
          <w:color w:val="646464"/>
        </w:rPr>
        <w:t>.</w:t>
      </w:r>
    </w:p>
    <w:p w14:paraId="7207D196" w14:textId="77777777" w:rsidR="00237981" w:rsidRPr="00DD38C0" w:rsidRDefault="008D1707" w:rsidP="00EE6BF2">
      <w:pPr>
        <w:spacing w:line="276" w:lineRule="auto"/>
        <w:jc w:val="center"/>
        <w:rPr>
          <w:rStyle w:val="st"/>
          <w:rFonts w:asciiTheme="majorHAnsi" w:hAnsiTheme="majorHAnsi"/>
          <w:i/>
          <w:color w:val="A6A6A6" w:themeColor="background1" w:themeShade="A6"/>
          <w:sz w:val="4"/>
        </w:rPr>
      </w:pPr>
    </w:p>
    <w:p w14:paraId="31006719" w14:textId="77777777" w:rsidR="00237981" w:rsidRDefault="008D1707" w:rsidP="00EE6BF2">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14:anchorId="20A8592C" wp14:editId="7571A2B4">
            <wp:extent cx="5825083" cy="26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77FEA71" w14:textId="77777777" w:rsidR="00237981" w:rsidRPr="00DD38C0" w:rsidRDefault="008D1707" w:rsidP="00EE6BF2">
      <w:pPr>
        <w:spacing w:line="276" w:lineRule="auto"/>
        <w:rPr>
          <w:rFonts w:asciiTheme="majorHAnsi" w:hAnsiTheme="majorHAnsi"/>
          <w:color w:val="A6A6A6" w:themeColor="background1" w:themeShade="A6"/>
          <w:sz w:val="2"/>
          <w:szCs w:val="20"/>
        </w:rPr>
      </w:pPr>
    </w:p>
    <w:p w14:paraId="0151F262" w14:textId="60DB533E" w:rsidR="006E3EBF" w:rsidRPr="00425944" w:rsidRDefault="008D1707" w:rsidP="00EE6BF2">
      <w:pPr>
        <w:spacing w:line="276" w:lineRule="auto"/>
        <w:jc w:val="center"/>
        <w:rPr>
          <w:rFonts w:asciiTheme="majorHAnsi" w:hAnsiTheme="majorHAnsi" w:cs="Times New Roman"/>
          <w:sz w:val="2"/>
          <w:szCs w:val="32"/>
        </w:rPr>
      </w:pP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representativename  \* MERGEFORMAT </w:instrText>
      </w:r>
      <w:r w:rsidRPr="00237981">
        <w:rPr>
          <w:rFonts w:asciiTheme="majorHAnsi" w:hAnsiTheme="majorHAnsi" w:cs="Times New Roman"/>
          <w:sz w:val="24"/>
          <w:szCs w:val="32"/>
        </w:rPr>
        <w:fldChar w:fldCharType="separate"/>
      </w:r>
      <w:r>
        <w:rPr>
          <w:rFonts w:asciiTheme="majorHAnsi" w:hAnsiTheme="majorHAnsi" w:cs="Times New Roman"/>
          <w:sz w:val="24"/>
          <w:szCs w:val="32"/>
        </w:rPr>
        <w:t>Jason Kleemeier</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may be reached at</w:t>
      </w:r>
      <w:r>
        <w:rPr>
          <w:rFonts w:asciiTheme="majorHAnsi" w:hAnsiTheme="majorHAnsi" w:cs="Times New Roman"/>
          <w:sz w:val="24"/>
          <w:szCs w:val="32"/>
        </w:rPr>
        <w:t xml:space="preserve"> 515-462-4608 </w:t>
      </w:r>
      <w:r w:rsidRPr="00237981">
        <w:rPr>
          <w:rFonts w:asciiTheme="majorHAnsi" w:hAnsiTheme="majorHAnsi" w:cs="Times New Roman"/>
          <w:sz w:val="24"/>
          <w:szCs w:val="32"/>
        </w:rPr>
        <w:t xml:space="preserve">or </w:t>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representativeemail  \* MERGEFORMAT </w:instrText>
      </w:r>
      <w:r w:rsidRPr="00237981">
        <w:rPr>
          <w:rFonts w:asciiTheme="majorHAnsi" w:hAnsiTheme="majorHAnsi" w:cs="Times New Roman"/>
          <w:sz w:val="24"/>
          <w:szCs w:val="32"/>
        </w:rPr>
        <w:fldChar w:fldCharType="separate"/>
      </w:r>
      <w:r>
        <w:rPr>
          <w:rFonts w:asciiTheme="majorHAnsi" w:hAnsiTheme="majorHAnsi" w:cs="Times New Roman"/>
          <w:sz w:val="24"/>
          <w:szCs w:val="32"/>
        </w:rPr>
        <w:t>jason@onewealth4me.com</w:t>
      </w:r>
      <w:r w:rsidRPr="00237981">
        <w:rPr>
          <w:rFonts w:asciiTheme="majorHAnsi" w:hAnsiTheme="majorHAnsi" w:cs="Times New Roman"/>
          <w:sz w:val="24"/>
          <w:szCs w:val="32"/>
        </w:rPr>
        <w:fldChar w:fldCharType="end"/>
      </w:r>
      <w:r w:rsidRPr="00237981">
        <w:rPr>
          <w:rFonts w:asciiTheme="majorHAnsi" w:hAnsiTheme="majorHAnsi" w:cs="Times New Roman"/>
          <w:sz w:val="24"/>
          <w:szCs w:val="32"/>
        </w:rPr>
        <w:t xml:space="preserve"> </w:t>
      </w:r>
      <w:r>
        <w:rPr>
          <w:rFonts w:asciiTheme="majorHAnsi" w:hAnsiTheme="majorHAnsi" w:cs="Times New Roman"/>
          <w:sz w:val="24"/>
          <w:szCs w:val="32"/>
        </w:rPr>
        <w:br/>
      </w:r>
      <w:r w:rsidRPr="00237981">
        <w:rPr>
          <w:rFonts w:asciiTheme="majorHAnsi" w:hAnsiTheme="majorHAnsi" w:cs="Times New Roman"/>
          <w:sz w:val="24"/>
          <w:szCs w:val="32"/>
        </w:rPr>
        <w:fldChar w:fldCharType="begin"/>
      </w:r>
      <w:r w:rsidRPr="00237981">
        <w:rPr>
          <w:rFonts w:asciiTheme="majorHAnsi" w:hAnsiTheme="majorHAnsi" w:cs="Times New Roman"/>
          <w:sz w:val="24"/>
          <w:szCs w:val="32"/>
        </w:rPr>
        <w:instrText xml:space="preserve"> MERGEFIELD  representativewebsite  \* MERGEFORMAT </w:instrText>
      </w:r>
      <w:r w:rsidRPr="00237981">
        <w:rPr>
          <w:rFonts w:asciiTheme="majorHAnsi" w:hAnsiTheme="majorHAnsi" w:cs="Times New Roman"/>
          <w:sz w:val="24"/>
          <w:szCs w:val="32"/>
        </w:rPr>
        <w:fldChar w:fldCharType="separate"/>
      </w:r>
      <w:r>
        <w:rPr>
          <w:rFonts w:asciiTheme="majorHAnsi" w:hAnsiTheme="majorHAnsi" w:cs="Times New Roman"/>
          <w:sz w:val="24"/>
          <w:szCs w:val="32"/>
        </w:rPr>
        <w:t>www.onewealth4me.com</w:t>
      </w:r>
      <w:r w:rsidRPr="00237981">
        <w:rPr>
          <w:rFonts w:asciiTheme="majorHAnsi" w:hAnsiTheme="majorHAnsi" w:cs="Times New Roman"/>
          <w:sz w:val="24"/>
          <w:szCs w:val="32"/>
        </w:rPr>
        <w:fldChar w:fldCharType="end"/>
      </w:r>
      <w:r>
        <w:rPr>
          <w:rFonts w:asciiTheme="majorHAnsi" w:hAnsiTheme="majorHAnsi" w:cs="Times New Roman"/>
          <w:sz w:val="24"/>
          <w:szCs w:val="32"/>
        </w:rPr>
        <w:br/>
      </w:r>
    </w:p>
    <w:p w14:paraId="3FCC3A7F" w14:textId="77777777" w:rsidR="00237981" w:rsidRPr="00DD38C0" w:rsidRDefault="008D1707" w:rsidP="00EE6BF2">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 xml:space="preserve">Know someone who could use information like this? </w:t>
      </w:r>
      <w:r>
        <w:rPr>
          <w:rFonts w:asciiTheme="majorHAnsi" w:hAnsiTheme="majorHAnsi" w:cs="Times New Roman"/>
          <w:b/>
          <w:sz w:val="24"/>
          <w:szCs w:val="32"/>
        </w:rPr>
        <w:br/>
      </w:r>
      <w:r>
        <w:rPr>
          <w:rFonts w:asciiTheme="majorHAnsi" w:hAnsiTheme="majorHAnsi" w:cs="Times New Roman"/>
          <w:sz w:val="24"/>
          <w:szCs w:val="32"/>
        </w:rPr>
        <w:t>Please feel free</w:t>
      </w:r>
      <w:r>
        <w:rPr>
          <w:rFonts w:asciiTheme="majorHAnsi" w:hAnsiTheme="majorHAnsi" w:cs="Times New Roman"/>
          <w:sz w:val="24"/>
          <w:szCs w:val="32"/>
        </w:rPr>
        <w:t xml:space="preserve"> to</w:t>
      </w:r>
      <w:r>
        <w:rPr>
          <w:rFonts w:asciiTheme="majorHAnsi" w:hAnsiTheme="majorHAnsi" w:cs="Times New Roman"/>
          <w:sz w:val="24"/>
          <w:szCs w:val="32"/>
        </w:rPr>
        <w:t xml:space="preserve"> send us their contact informati</w:t>
      </w:r>
      <w:r>
        <w:rPr>
          <w:rFonts w:asciiTheme="majorHAnsi" w:hAnsiTheme="majorHAnsi" w:cs="Times New Roman"/>
          <w:sz w:val="24"/>
          <w:szCs w:val="32"/>
        </w:rPr>
        <w:t>on via phone or email. (</w:t>
      </w:r>
      <w:proofErr w:type="gramStart"/>
      <w:r>
        <w:rPr>
          <w:rFonts w:asciiTheme="majorHAnsi" w:hAnsiTheme="majorHAnsi" w:cs="Times New Roman"/>
          <w:sz w:val="24"/>
          <w:szCs w:val="32"/>
        </w:rPr>
        <w:t>Don’t</w:t>
      </w:r>
      <w:proofErr w:type="gramEnd"/>
      <w:r>
        <w:rPr>
          <w:rFonts w:asciiTheme="majorHAnsi" w:hAnsiTheme="majorHAnsi" w:cs="Times New Roman"/>
          <w:sz w:val="24"/>
          <w:szCs w:val="32"/>
        </w:rPr>
        <w:t xml:space="preserve"> worry – we’ll request their permission before adding them to our mailing list.)</w:t>
      </w:r>
    </w:p>
    <w:p w14:paraId="18ECEA04" w14:textId="77777777" w:rsidR="00237981" w:rsidRDefault="008D1707" w:rsidP="00EE6BF2">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14:anchorId="237BDCA9" wp14:editId="61CD103E">
            <wp:extent cx="5825083" cy="268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825083" cy="26885"/>
                    </a:xfrm>
                    <a:prstGeom prst="rect">
                      <a:avLst/>
                    </a:prstGeom>
                    <a:noFill/>
                    <a:ln>
                      <a:noFill/>
                    </a:ln>
                  </pic:spPr>
                </pic:pic>
              </a:graphicData>
            </a:graphic>
          </wp:inline>
        </w:drawing>
      </w:r>
    </w:p>
    <w:p w14:paraId="78A876EA" w14:textId="41899951" w:rsidR="00237981" w:rsidRPr="008D1707" w:rsidRDefault="008D1707" w:rsidP="008D1707">
      <w:pPr>
        <w:widowControl w:val="0"/>
        <w:autoSpaceDE w:val="0"/>
        <w:autoSpaceDN w:val="0"/>
        <w:adjustRightInd w:val="0"/>
        <w:spacing w:line="276" w:lineRule="auto"/>
        <w:jc w:val="both"/>
        <w:rPr>
          <w:rFonts w:asciiTheme="majorHAnsi" w:hAnsiTheme="majorHAnsi" w:cs="Arial"/>
          <w:color w:val="646464"/>
          <w:sz w:val="16"/>
          <w:szCs w:val="16"/>
        </w:rPr>
      </w:pPr>
      <w:r w:rsidRPr="008D1707">
        <w:rPr>
          <w:rFonts w:asciiTheme="majorHAnsi" w:hAnsiTheme="majorHAnsi" w:cs="Arial"/>
          <w:color w:val="646464"/>
          <w:sz w:val="16"/>
          <w:szCs w:val="16"/>
        </w:rPr>
        <w:t>Securities offered through Registered Representatives of Cambridge Investment Research Inc., a broker dealer, member FINRA/SIPC. Advisory services</w:t>
      </w:r>
      <w:r>
        <w:rPr>
          <w:rFonts w:asciiTheme="majorHAnsi" w:hAnsiTheme="majorHAnsi" w:cs="Arial"/>
          <w:color w:val="646464"/>
          <w:sz w:val="16"/>
          <w:szCs w:val="16"/>
        </w:rPr>
        <w:t xml:space="preserve"> </w:t>
      </w:r>
      <w:r w:rsidRPr="008D1707">
        <w:rPr>
          <w:rFonts w:asciiTheme="majorHAnsi" w:hAnsiTheme="majorHAnsi" w:cs="Arial"/>
          <w:color w:val="646464"/>
          <w:sz w:val="16"/>
          <w:szCs w:val="16"/>
        </w:rPr>
        <w:t xml:space="preserve">offered through Cambridge Investment Research Advisors Inc., a Registered Investment Adviser. </w:t>
      </w:r>
      <w:proofErr w:type="spellStart"/>
      <w:r w:rsidRPr="008D1707">
        <w:rPr>
          <w:rFonts w:asciiTheme="majorHAnsi" w:hAnsiTheme="majorHAnsi" w:cs="Arial"/>
          <w:color w:val="646464"/>
          <w:sz w:val="16"/>
          <w:szCs w:val="16"/>
        </w:rPr>
        <w:t>OneWealth</w:t>
      </w:r>
      <w:proofErr w:type="spellEnd"/>
      <w:r w:rsidRPr="008D1707">
        <w:rPr>
          <w:rFonts w:asciiTheme="majorHAnsi" w:hAnsiTheme="majorHAnsi" w:cs="Arial"/>
          <w:color w:val="646464"/>
          <w:sz w:val="16"/>
          <w:szCs w:val="16"/>
        </w:rPr>
        <w:t xml:space="preserve"> and Cambridge are not affiliated.</w:t>
      </w:r>
    </w:p>
    <w:p w14:paraId="71E6EDC9" w14:textId="77777777" w:rsidR="00237981" w:rsidRPr="00DD38C0" w:rsidRDefault="008D1707" w:rsidP="00EE6BF2">
      <w:pPr>
        <w:widowControl w:val="0"/>
        <w:autoSpaceDE w:val="0"/>
        <w:autoSpaceDN w:val="0"/>
        <w:adjustRightInd w:val="0"/>
        <w:spacing w:line="276" w:lineRule="auto"/>
        <w:jc w:val="both"/>
        <w:rPr>
          <w:rFonts w:asciiTheme="majorHAnsi" w:hAnsiTheme="majorHAnsi"/>
          <w:color w:val="646464"/>
          <w:sz w:val="16"/>
          <w:szCs w:val="16"/>
        </w:rPr>
      </w:pPr>
      <w:r w:rsidRPr="00455DFE">
        <w:rPr>
          <w:rFonts w:asciiTheme="majorHAnsi" w:hAnsiTheme="majorHAnsi" w:cs="Arial"/>
          <w:color w:val="646464"/>
          <w:sz w:val="16"/>
          <w:szCs w:val="16"/>
        </w:rPr>
        <w:t xml:space="preserve">This material was prepared by </w:t>
      </w:r>
      <w:proofErr w:type="spellStart"/>
      <w:r w:rsidRPr="00455DFE">
        <w:rPr>
          <w:rFonts w:asciiTheme="majorHAnsi" w:hAnsiTheme="majorHAnsi" w:cs="Arial"/>
          <w:color w:val="646464"/>
          <w:sz w:val="16"/>
          <w:szCs w:val="16"/>
        </w:rPr>
        <w:t>MarketingPro</w:t>
      </w:r>
      <w:proofErr w:type="spellEnd"/>
      <w:r w:rsidRPr="00455DFE">
        <w:rPr>
          <w:rFonts w:asciiTheme="majorHAnsi" w:hAnsiTheme="majorHAnsi" w:cs="Arial"/>
          <w:color w:val="646464"/>
          <w:sz w:val="16"/>
          <w:szCs w:val="16"/>
        </w:rPr>
        <w:t xml:space="preserve">, Inc., and does not necessarily represent the views of the presenting party, nor their affiliates. The information herein has been derived from sources believed to be accurate. Please note - investing involves risk, and past performance is no </w:t>
      </w:r>
      <w:r w:rsidRPr="00455DFE">
        <w:rPr>
          <w:rFonts w:asciiTheme="majorHAnsi" w:hAnsiTheme="majorHAnsi" w:cs="Arial"/>
          <w:color w:val="646464"/>
          <w:sz w:val="16"/>
          <w:szCs w:val="16"/>
        </w:rPr>
        <w:t>guarantee of future results. Investments will fluctuate and when redeemed may be worth more or less than when originally invested. This information should not be construed as investment, tax or legal advice and may not be relied on for the purpose of avoid</w:t>
      </w:r>
      <w:r w:rsidRPr="00455DFE">
        <w:rPr>
          <w:rFonts w:asciiTheme="majorHAnsi" w:hAnsiTheme="majorHAnsi" w:cs="Arial"/>
          <w:color w:val="646464"/>
          <w:sz w:val="16"/>
          <w:szCs w:val="16"/>
        </w:rPr>
        <w:t xml:space="preserve">ing any Federal tax penalty. This is neither a solicitation nor recommendation to purchase or sell any investment or insurance product or </w:t>
      </w:r>
      <w:proofErr w:type="gramStart"/>
      <w:r w:rsidRPr="00455DFE">
        <w:rPr>
          <w:rFonts w:asciiTheme="majorHAnsi" w:hAnsiTheme="majorHAnsi" w:cs="Arial"/>
          <w:color w:val="646464"/>
          <w:sz w:val="16"/>
          <w:szCs w:val="16"/>
        </w:rPr>
        <w:t>service, and</w:t>
      </w:r>
      <w:proofErr w:type="gramEnd"/>
      <w:r w:rsidRPr="00455DFE">
        <w:rPr>
          <w:rFonts w:asciiTheme="majorHAnsi" w:hAnsiTheme="majorHAnsi" w:cs="Arial"/>
          <w:color w:val="646464"/>
          <w:sz w:val="16"/>
          <w:szCs w:val="16"/>
        </w:rPr>
        <w:t xml:space="preserve"> should not be relied upon as such. All market indices discussed are unmanaged and are not illustrative of</w:t>
      </w:r>
      <w:r w:rsidRPr="00455DFE">
        <w:rPr>
          <w:rFonts w:asciiTheme="majorHAnsi" w:hAnsiTheme="majorHAnsi" w:cs="Arial"/>
          <w:color w:val="646464"/>
          <w:sz w:val="16"/>
          <w:szCs w:val="16"/>
        </w:rPr>
        <w:t xml:space="preserve"> any particular investment. Indices do not incur management fees, costs, or expenses. Investors cannot invest directly in indices. All economic and performance data is historical and not indicative of future results. The Dow Jones Industrial Average is a p</w:t>
      </w:r>
      <w:r w:rsidRPr="00455DFE">
        <w:rPr>
          <w:rFonts w:asciiTheme="majorHAnsi" w:hAnsiTheme="majorHAnsi" w:cs="Arial"/>
          <w:color w:val="646464"/>
          <w:sz w:val="16"/>
          <w:szCs w:val="16"/>
        </w:rPr>
        <w:t>rice-weighted index of 30 actively traded blue-chip stocks. The NASDAQ Composite Index is a market-weighted index of all over-the-counter common stocks traded on the National Association of Securities Dealers Automated Quotation System. The Standard &amp; Poor</w:t>
      </w:r>
      <w:r w:rsidRPr="00455DFE">
        <w:rPr>
          <w:rFonts w:asciiTheme="majorHAnsi" w:hAnsiTheme="majorHAnsi" w:cs="Arial"/>
          <w:color w:val="646464"/>
          <w:sz w:val="16"/>
          <w:szCs w:val="16"/>
        </w:rPr>
        <w:t>'s 500 (S&amp;P 500) is a market-cap weighted index composed of the common stocks of 500 leading companies in leading industries of the U.S. economy. The Russell 2000 Index measures the performance of the small-cap segment of the U.S. equity universe. The CBOE</w:t>
      </w:r>
      <w:r w:rsidRPr="00455DFE">
        <w:rPr>
          <w:rFonts w:asciiTheme="majorHAnsi" w:hAnsiTheme="majorHAnsi" w:cs="Arial"/>
          <w:color w:val="646464"/>
          <w:sz w:val="16"/>
          <w:szCs w:val="16"/>
        </w:rPr>
        <w:t xml:space="preserve"> Volatility Index® (VIX®) is a key measure of market expectations of near-term volatility conveyed by S&amp;P 500 stock index option prices. NYSE Group, Inc. (</w:t>
      </w:r>
      <w:proofErr w:type="gramStart"/>
      <w:r w:rsidRPr="00455DFE">
        <w:rPr>
          <w:rFonts w:asciiTheme="majorHAnsi" w:hAnsiTheme="majorHAnsi" w:cs="Arial"/>
          <w:color w:val="646464"/>
          <w:sz w:val="16"/>
          <w:szCs w:val="16"/>
        </w:rPr>
        <w:t>NYSE:NYX</w:t>
      </w:r>
      <w:proofErr w:type="gramEnd"/>
      <w:r w:rsidRPr="00455DFE">
        <w:rPr>
          <w:rFonts w:asciiTheme="majorHAnsi" w:hAnsiTheme="majorHAnsi" w:cs="Arial"/>
          <w:color w:val="646464"/>
          <w:sz w:val="16"/>
          <w:szCs w:val="16"/>
        </w:rPr>
        <w:t>) operates two securities exchanges: the New York Stock Exchange (the “NYSE”) and NYSE Arca (</w:t>
      </w:r>
      <w:r w:rsidRPr="00455DFE">
        <w:rPr>
          <w:rFonts w:asciiTheme="majorHAnsi" w:hAnsiTheme="majorHAnsi" w:cs="Arial"/>
          <w:color w:val="646464"/>
          <w:sz w:val="16"/>
          <w:szCs w:val="16"/>
        </w:rPr>
        <w:t xml:space="preserve">formerly known as the Archipelago Exchange, or </w:t>
      </w:r>
      <w:proofErr w:type="spellStart"/>
      <w:r w:rsidRPr="00455DFE">
        <w:rPr>
          <w:rFonts w:asciiTheme="majorHAnsi" w:hAnsiTheme="majorHAnsi" w:cs="Arial"/>
          <w:color w:val="646464"/>
          <w:sz w:val="16"/>
          <w:szCs w:val="16"/>
        </w:rPr>
        <w:t>ArcaEx</w:t>
      </w:r>
      <w:proofErr w:type="spellEnd"/>
      <w:r w:rsidRPr="00455DFE">
        <w:rPr>
          <w:rFonts w:asciiTheme="majorHAnsi" w:hAnsiTheme="majorHAnsi" w:cs="Arial"/>
          <w:color w:val="646464"/>
          <w:sz w:val="16"/>
          <w:szCs w:val="16"/>
        </w:rPr>
        <w:t xml:space="preserve">®, and the Pacific Exchange). NYSE Group is a leading provider of securities listing, trading and market data products and services. The New York Mercantile Exchange, Inc. (NYMEX) is the world's largest </w:t>
      </w:r>
      <w:r w:rsidRPr="00455DFE">
        <w:rPr>
          <w:rFonts w:asciiTheme="majorHAnsi" w:hAnsiTheme="majorHAnsi" w:cs="Arial"/>
          <w:color w:val="646464"/>
          <w:sz w:val="16"/>
          <w:szCs w:val="16"/>
        </w:rPr>
        <w:t>physical commodity futures exchange and the preeminent trading forum for energy and precious metals, with trading conducted through two divisions – the NYMEX Division, home to the energy, platinum, and palladium markets, and the COMEX Division, on which al</w:t>
      </w:r>
      <w:r w:rsidRPr="00455DFE">
        <w:rPr>
          <w:rFonts w:asciiTheme="majorHAnsi" w:hAnsiTheme="majorHAnsi" w:cs="Arial"/>
          <w:color w:val="646464"/>
          <w:sz w:val="16"/>
          <w:szCs w:val="16"/>
        </w:rPr>
        <w:t>l other metals trade. The SSE Composite Index is an index of all stocks (A shares and B shares) that are traded at the Shanghai Stock Exchange. The CAC-40 Index is a narrow-based, modified capitalization-weighted index of 40 companies listed on the Paris B</w:t>
      </w:r>
      <w:r w:rsidRPr="00455DFE">
        <w:rPr>
          <w:rFonts w:asciiTheme="majorHAnsi" w:hAnsiTheme="majorHAnsi" w:cs="Arial"/>
          <w:color w:val="646464"/>
          <w:sz w:val="16"/>
          <w:szCs w:val="16"/>
        </w:rPr>
        <w:t>ourse. The FTSEurofirst 300 Index comprises the 300 largest companies ranked by market capitalization in the FTSE Developed Europe Index. The FTSE 100 Index is a share index of the 100 companies listed on the London Stock Exchange with the highest market c</w:t>
      </w:r>
      <w:r w:rsidRPr="00455DFE">
        <w:rPr>
          <w:rFonts w:asciiTheme="majorHAnsi" w:hAnsiTheme="majorHAnsi" w:cs="Arial"/>
          <w:color w:val="646464"/>
          <w:sz w:val="16"/>
          <w:szCs w:val="16"/>
        </w:rPr>
        <w:t>apitalization. Established in January 1980, the All Ordinaries is the oldest index of shares in Australia. It is made up of the share prices for 500 of the largest companies listed on the Australian Securities Exchange. The S&amp;P/TSX Composite Index is an in</w:t>
      </w:r>
      <w:r w:rsidRPr="00455DFE">
        <w:rPr>
          <w:rFonts w:asciiTheme="majorHAnsi" w:hAnsiTheme="majorHAnsi" w:cs="Arial"/>
          <w:color w:val="646464"/>
          <w:sz w:val="16"/>
          <w:szCs w:val="16"/>
        </w:rPr>
        <w:t>dex of the stock (equity) prices of the largest companies on the Toronto Stock Exchange (TSX) as measured by market capitalization. The Hang Seng Index is a free float-adjusted market capitalization-weighted stock market index that is the main indicator of</w:t>
      </w:r>
      <w:r w:rsidRPr="00455DFE">
        <w:rPr>
          <w:rFonts w:asciiTheme="majorHAnsi" w:hAnsiTheme="majorHAnsi" w:cs="Arial"/>
          <w:color w:val="646464"/>
          <w:sz w:val="16"/>
          <w:szCs w:val="16"/>
        </w:rPr>
        <w:t xml:space="preserve"> the overall market performance in Hong Kong. The FTSE TWSE Taiwan 50 Index is a capitalization-weighted index of stocks comprising 50 companies listed on the Taiwan Stock Exchange developed by Taiwan Stock Exchange in collaboration with FTSE. The MSCI Wor</w:t>
      </w:r>
      <w:r w:rsidRPr="00455DFE">
        <w:rPr>
          <w:rFonts w:asciiTheme="majorHAnsi" w:hAnsiTheme="majorHAnsi" w:cs="Arial"/>
          <w:color w:val="646464"/>
          <w:sz w:val="16"/>
          <w:szCs w:val="16"/>
        </w:rPr>
        <w:t xml:space="preserve">ld Index is a free-float weighted equity index that includes developed world markets and does not include emerging markets. The Mexican Stock Exchange, commonly known as Mexican Bolsa, </w:t>
      </w:r>
      <w:proofErr w:type="spellStart"/>
      <w:r w:rsidRPr="00455DFE">
        <w:rPr>
          <w:rFonts w:asciiTheme="majorHAnsi" w:hAnsiTheme="majorHAnsi" w:cs="Arial"/>
          <w:color w:val="646464"/>
          <w:sz w:val="16"/>
          <w:szCs w:val="16"/>
        </w:rPr>
        <w:t>Mexbol</w:t>
      </w:r>
      <w:proofErr w:type="spellEnd"/>
      <w:r w:rsidRPr="00455DFE">
        <w:rPr>
          <w:rFonts w:asciiTheme="majorHAnsi" w:hAnsiTheme="majorHAnsi" w:cs="Arial"/>
          <w:color w:val="646464"/>
          <w:sz w:val="16"/>
          <w:szCs w:val="16"/>
        </w:rPr>
        <w:t>, or BMV, is the only stock exchange in Mexico. The U.S. Dollar I</w:t>
      </w:r>
      <w:r w:rsidRPr="00455DFE">
        <w:rPr>
          <w:rFonts w:asciiTheme="majorHAnsi" w:hAnsiTheme="majorHAnsi" w:cs="Arial"/>
          <w:color w:val="646464"/>
          <w:sz w:val="16"/>
          <w:szCs w:val="16"/>
        </w:rPr>
        <w:t>ndex measures the performance of the U.S. dollar against a basket of six currencies. Additional risks are associated with international investing, such as currency fluctuations, political and economic instability, and differences in accounting standards. T</w:t>
      </w:r>
      <w:r w:rsidRPr="00455DFE">
        <w:rPr>
          <w:rFonts w:asciiTheme="majorHAnsi" w:hAnsiTheme="majorHAnsi" w:cs="Arial"/>
          <w:color w:val="646464"/>
          <w:sz w:val="16"/>
          <w:szCs w:val="16"/>
        </w:rPr>
        <w:t xml:space="preserve">his material represents an assessment of the market environment at a specific point in time and is not intended to be a forecast of future events or a guarantee of future results. </w:t>
      </w:r>
      <w:proofErr w:type="spellStart"/>
      <w:r w:rsidRPr="00455DFE">
        <w:rPr>
          <w:rFonts w:asciiTheme="majorHAnsi" w:hAnsiTheme="majorHAnsi" w:cs="Arial"/>
          <w:color w:val="646464"/>
          <w:sz w:val="16"/>
          <w:szCs w:val="16"/>
        </w:rPr>
        <w:t>MarketingPro</w:t>
      </w:r>
      <w:proofErr w:type="spellEnd"/>
      <w:r w:rsidRPr="00455DFE">
        <w:rPr>
          <w:rFonts w:asciiTheme="majorHAnsi" w:hAnsiTheme="majorHAnsi" w:cs="Arial"/>
          <w:color w:val="646464"/>
          <w:sz w:val="16"/>
          <w:szCs w:val="16"/>
        </w:rPr>
        <w:t>, Inc. is not affiliated with any person or firm that may be pro</w:t>
      </w:r>
      <w:r w:rsidRPr="00455DFE">
        <w:rPr>
          <w:rFonts w:asciiTheme="majorHAnsi" w:hAnsiTheme="majorHAnsi" w:cs="Arial"/>
          <w:color w:val="646464"/>
          <w:sz w:val="16"/>
          <w:szCs w:val="16"/>
        </w:rPr>
        <w:t>viding this information to you. The publisher is not engaged in rendering legal, accounting, or other professional services. If assistance is needed, the reader is advised to engage the services of a competent professional</w:t>
      </w:r>
      <w:r w:rsidRPr="00DD38C0">
        <w:rPr>
          <w:rFonts w:asciiTheme="majorHAnsi" w:hAnsiTheme="majorHAnsi"/>
          <w:color w:val="646464"/>
          <w:sz w:val="16"/>
          <w:szCs w:val="16"/>
        </w:rPr>
        <w:t>.</w:t>
      </w:r>
    </w:p>
    <w:p w14:paraId="433D1EBF" w14:textId="77777777" w:rsidR="00237981" w:rsidRPr="00DD38C0" w:rsidRDefault="008D1707" w:rsidP="00EE6BF2">
      <w:pPr>
        <w:spacing w:line="276" w:lineRule="auto"/>
        <w:rPr>
          <w:rFonts w:asciiTheme="majorHAnsi" w:hAnsiTheme="majorHAnsi" w:cs="Arial"/>
          <w:color w:val="646464"/>
          <w:sz w:val="16"/>
          <w:szCs w:val="16"/>
        </w:rPr>
      </w:pPr>
      <w:r w:rsidRPr="00DD38C0">
        <w:rPr>
          <w:rFonts w:asciiTheme="majorHAnsi" w:hAnsiTheme="majorHAnsi" w:cs="Arial"/>
          <w:color w:val="646464"/>
          <w:sz w:val="16"/>
          <w:szCs w:val="16"/>
        </w:rPr>
        <w:lastRenderedPageBreak/>
        <w:t>CITATIONS:</w:t>
      </w:r>
    </w:p>
    <w:p w14:paraId="1AD1606D"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 The Wall Street Jo</w:t>
      </w:r>
      <w:r w:rsidRPr="009D0FFB">
        <w:rPr>
          <w:rFonts w:asciiTheme="majorHAnsi" w:hAnsiTheme="majorHAnsi" w:cstheme="majorHAnsi"/>
          <w:color w:val="808080" w:themeColor="background1" w:themeShade="80"/>
          <w:sz w:val="16"/>
          <w:szCs w:val="16"/>
        </w:rPr>
        <w:t>urnal, June 30, 2021</w:t>
      </w:r>
    </w:p>
    <w:p w14:paraId="6D6D03AC"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2. CNBC.com, June 10, 2021</w:t>
      </w:r>
    </w:p>
    <w:p w14:paraId="0A32C1AB"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3. The Wall Street Journal, June 16, 202</w:t>
      </w:r>
    </w:p>
    <w:p w14:paraId="583C6B0D"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4. Sectorspdr.com, May 31, 2021</w:t>
      </w:r>
    </w:p>
    <w:p w14:paraId="20E3B8D4"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5. FactSet.com, June 4, 2021</w:t>
      </w:r>
    </w:p>
    <w:p w14:paraId="5B364E18"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6. MSCI.com, June 30, 2021</w:t>
      </w:r>
    </w:p>
    <w:p w14:paraId="4D5EC795"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7. MSCI.com, June 30, 2021</w:t>
      </w:r>
    </w:p>
    <w:p w14:paraId="481B894D"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8. MSCI.com, June 30, 2021</w:t>
      </w:r>
    </w:p>
    <w:p w14:paraId="636F3792"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 xml:space="preserve">9. CNBC.com, June 24, </w:t>
      </w:r>
      <w:r w:rsidRPr="009D0FFB">
        <w:rPr>
          <w:rFonts w:asciiTheme="majorHAnsi" w:hAnsiTheme="majorHAnsi" w:cstheme="majorHAnsi"/>
          <w:color w:val="808080" w:themeColor="background1" w:themeShade="80"/>
          <w:sz w:val="16"/>
          <w:szCs w:val="16"/>
        </w:rPr>
        <w:t>2021</w:t>
      </w:r>
    </w:p>
    <w:p w14:paraId="3CB3CBC2"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10. The Wall Street Journal, June 4, 2021</w:t>
      </w:r>
    </w:p>
    <w:p w14:paraId="589CA4A5"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11. The Wall Street Journal, June 15, 2021</w:t>
      </w:r>
    </w:p>
    <w:p w14:paraId="0C653F9C"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12. MarketWatch.com, June 15, 2021</w:t>
      </w:r>
    </w:p>
    <w:p w14:paraId="23460C34"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13. CNBC.com, June 16, 2021</w:t>
      </w:r>
    </w:p>
    <w:p w14:paraId="514EFA23"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14. CNBC.com, June 22, 2021</w:t>
      </w:r>
    </w:p>
    <w:p w14:paraId="5DDEE2FC"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15. FoxBusiness.com, June 23, 2021</w:t>
      </w:r>
    </w:p>
    <w:p w14:paraId="4AB6C852"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 xml:space="preserve">16. The Wall Street </w:t>
      </w:r>
      <w:r w:rsidRPr="009D0FFB">
        <w:rPr>
          <w:rFonts w:asciiTheme="majorHAnsi" w:hAnsiTheme="majorHAnsi" w:cstheme="majorHAnsi"/>
          <w:color w:val="808080" w:themeColor="background1" w:themeShade="80"/>
          <w:sz w:val="16"/>
          <w:szCs w:val="16"/>
        </w:rPr>
        <w:t>Journal.com, June 10, 2021</w:t>
      </w:r>
    </w:p>
    <w:p w14:paraId="612FC568" w14:textId="77777777" w:rsidR="009D0FFB" w:rsidRPr="009D0FFB"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17. CNBC.com, June 24, 2021</w:t>
      </w:r>
    </w:p>
    <w:p w14:paraId="00B51BE6" w14:textId="77777777" w:rsidR="008E168C" w:rsidRPr="00410159" w:rsidRDefault="008D1707" w:rsidP="009D0FFB">
      <w:pPr>
        <w:spacing w:after="0" w:line="240" w:lineRule="auto"/>
        <w:rPr>
          <w:rFonts w:asciiTheme="majorHAnsi" w:hAnsiTheme="majorHAnsi" w:cstheme="majorHAnsi"/>
          <w:color w:val="808080" w:themeColor="background1" w:themeShade="80"/>
          <w:sz w:val="16"/>
          <w:szCs w:val="16"/>
        </w:rPr>
      </w:pPr>
      <w:r w:rsidRPr="009D0FFB">
        <w:rPr>
          <w:rFonts w:asciiTheme="majorHAnsi" w:hAnsiTheme="majorHAnsi" w:cstheme="majorHAnsi"/>
          <w:color w:val="808080" w:themeColor="background1" w:themeShade="80"/>
          <w:sz w:val="16"/>
          <w:szCs w:val="16"/>
        </w:rPr>
        <w:t>18. The Wall Street Journal, June 16, 2021</w:t>
      </w:r>
    </w:p>
    <w:sectPr w:rsidR="008E168C" w:rsidRPr="00410159"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64EF1"/>
    <w:multiLevelType w:val="hybridMultilevel"/>
    <w:tmpl w:val="52807AE8"/>
    <w:lvl w:ilvl="0" w:tplc="3416A2B8">
      <w:start w:val="1"/>
      <w:numFmt w:val="bullet"/>
      <w:lvlText w:val=""/>
      <w:lvlJc w:val="left"/>
      <w:pPr>
        <w:ind w:left="720" w:hanging="360"/>
      </w:pPr>
      <w:rPr>
        <w:rFonts w:ascii="Symbol" w:hAnsi="Symbol" w:hint="default"/>
      </w:rPr>
    </w:lvl>
    <w:lvl w:ilvl="1" w:tplc="E3AE1178" w:tentative="1">
      <w:start w:val="1"/>
      <w:numFmt w:val="bullet"/>
      <w:lvlText w:val="o"/>
      <w:lvlJc w:val="left"/>
      <w:pPr>
        <w:ind w:left="1440" w:hanging="360"/>
      </w:pPr>
      <w:rPr>
        <w:rFonts w:ascii="Courier New" w:hAnsi="Courier New" w:cs="Courier New" w:hint="default"/>
      </w:rPr>
    </w:lvl>
    <w:lvl w:ilvl="2" w:tplc="A6CE9AA8" w:tentative="1">
      <w:start w:val="1"/>
      <w:numFmt w:val="bullet"/>
      <w:lvlText w:val=""/>
      <w:lvlJc w:val="left"/>
      <w:pPr>
        <w:ind w:left="2160" w:hanging="360"/>
      </w:pPr>
      <w:rPr>
        <w:rFonts w:ascii="Wingdings" w:hAnsi="Wingdings" w:hint="default"/>
      </w:rPr>
    </w:lvl>
    <w:lvl w:ilvl="3" w:tplc="9BE8B0BA" w:tentative="1">
      <w:start w:val="1"/>
      <w:numFmt w:val="bullet"/>
      <w:lvlText w:val=""/>
      <w:lvlJc w:val="left"/>
      <w:pPr>
        <w:ind w:left="2880" w:hanging="360"/>
      </w:pPr>
      <w:rPr>
        <w:rFonts w:ascii="Symbol" w:hAnsi="Symbol" w:hint="default"/>
      </w:rPr>
    </w:lvl>
    <w:lvl w:ilvl="4" w:tplc="3EF0EB8E" w:tentative="1">
      <w:start w:val="1"/>
      <w:numFmt w:val="bullet"/>
      <w:lvlText w:val="o"/>
      <w:lvlJc w:val="left"/>
      <w:pPr>
        <w:ind w:left="3600" w:hanging="360"/>
      </w:pPr>
      <w:rPr>
        <w:rFonts w:ascii="Courier New" w:hAnsi="Courier New" w:cs="Courier New" w:hint="default"/>
      </w:rPr>
    </w:lvl>
    <w:lvl w:ilvl="5" w:tplc="66E24964" w:tentative="1">
      <w:start w:val="1"/>
      <w:numFmt w:val="bullet"/>
      <w:lvlText w:val=""/>
      <w:lvlJc w:val="left"/>
      <w:pPr>
        <w:ind w:left="4320" w:hanging="360"/>
      </w:pPr>
      <w:rPr>
        <w:rFonts w:ascii="Wingdings" w:hAnsi="Wingdings" w:hint="default"/>
      </w:rPr>
    </w:lvl>
    <w:lvl w:ilvl="6" w:tplc="D24EB038" w:tentative="1">
      <w:start w:val="1"/>
      <w:numFmt w:val="bullet"/>
      <w:lvlText w:val=""/>
      <w:lvlJc w:val="left"/>
      <w:pPr>
        <w:ind w:left="5040" w:hanging="360"/>
      </w:pPr>
      <w:rPr>
        <w:rFonts w:ascii="Symbol" w:hAnsi="Symbol" w:hint="default"/>
      </w:rPr>
    </w:lvl>
    <w:lvl w:ilvl="7" w:tplc="E5B021A2" w:tentative="1">
      <w:start w:val="1"/>
      <w:numFmt w:val="bullet"/>
      <w:lvlText w:val="o"/>
      <w:lvlJc w:val="left"/>
      <w:pPr>
        <w:ind w:left="5760" w:hanging="360"/>
      </w:pPr>
      <w:rPr>
        <w:rFonts w:ascii="Courier New" w:hAnsi="Courier New" w:cs="Courier New" w:hint="default"/>
      </w:rPr>
    </w:lvl>
    <w:lvl w:ilvl="8" w:tplc="91028C1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0A"/>
    <w:rsid w:val="00631B0A"/>
    <w:rsid w:val="008D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061A"/>
  <w15:docId w15:val="{4E664710-373E-44B7-B764-B3CFDA1A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PlainText">
    <w:name w:val="Plain Text"/>
    <w:basedOn w:val="Normal"/>
    <w:link w:val="PlainTextChar"/>
    <w:uiPriority w:val="99"/>
    <w:unhideWhenUsed/>
    <w:rsid w:val="00775662"/>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75662"/>
    <w:rPr>
      <w:rFonts w:ascii="Consolas" w:eastAsia="Calibri" w:hAnsi="Consolas" w:cs="Consolas"/>
      <w:sz w:val="21"/>
      <w:szCs w:val="21"/>
    </w:rPr>
  </w:style>
  <w:style w:type="paragraph" w:styleId="BalloonText">
    <w:name w:val="Balloon Text"/>
    <w:basedOn w:val="Normal"/>
    <w:link w:val="BalloonTextChar"/>
    <w:uiPriority w:val="99"/>
    <w:semiHidden/>
    <w:unhideWhenUsed/>
    <w:rsid w:val="001F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Jason Kleemeier</cp:lastModifiedBy>
  <cp:revision>2</cp:revision>
  <dcterms:created xsi:type="dcterms:W3CDTF">2021-07-08T18:53:00Z</dcterms:created>
  <dcterms:modified xsi:type="dcterms:W3CDTF">2021-07-08T18:53:00Z</dcterms:modified>
</cp:coreProperties>
</file>