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F04A" w14:textId="77777777" w:rsidR="00B76A8A" w:rsidRPr="00F111A0" w:rsidRDefault="000B27E4"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sidRPr="00C90421">
        <w:rPr>
          <w:rFonts w:asciiTheme="majorHAnsi" w:hAnsiTheme="majorHAnsi" w:cs="Times New Roman"/>
          <w:i/>
          <w:sz w:val="28"/>
          <w:szCs w:val="24"/>
        </w:rPr>
        <w:t>Stocks hit some turbulence, turning cautious amid slowing economic growth, and policy debate in Washington</w:t>
      </w:r>
      <w:r w:rsidRPr="00B60BB5">
        <w:rPr>
          <w:rFonts w:asciiTheme="majorHAnsi" w:hAnsiTheme="majorHAnsi" w:cs="Times New Roman"/>
          <w:i/>
          <w:sz w:val="28"/>
          <w:szCs w:val="24"/>
        </w:rPr>
        <w:t>.</w:t>
      </w:r>
    </w:p>
    <w:p w14:paraId="44221C14" w14:textId="77777777" w:rsidR="00F82321" w:rsidRPr="00A56786" w:rsidRDefault="000B27E4"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6B9BF2E5" w14:textId="77777777" w:rsidR="00B2579B" w:rsidRDefault="000B27E4"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141D622E" wp14:editId="464C4884">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8C22DE8" w14:textId="77777777" w:rsidR="00A56786" w:rsidRPr="00DD38C0" w:rsidRDefault="000B27E4" w:rsidP="00EE6BF2">
      <w:pPr>
        <w:spacing w:before="160" w:line="276" w:lineRule="auto"/>
        <w:jc w:val="center"/>
        <w:rPr>
          <w:rFonts w:asciiTheme="majorHAnsi" w:hAnsiTheme="majorHAnsi" w:cs="Times New Roman"/>
          <w:color w:val="808080" w:themeColor="background1" w:themeShade="80"/>
          <w:sz w:val="2"/>
          <w:szCs w:val="24"/>
        </w:rPr>
      </w:pPr>
    </w:p>
    <w:p w14:paraId="2C67FAB8" w14:textId="0A98C309" w:rsidR="00F82321" w:rsidRPr="001D1391" w:rsidRDefault="000B27E4"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sidR="00FF7F7F">
        <w:rPr>
          <w:rFonts w:asciiTheme="majorHAnsi" w:hAnsiTheme="majorHAnsi" w:cs="Times New Roman"/>
          <w:i/>
          <w:noProof/>
          <w:color w:val="646464"/>
          <w:sz w:val="24"/>
          <w:szCs w:val="24"/>
        </w:rPr>
        <w:t>Jason Kleemeier</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October</w:t>
      </w:r>
      <w:r w:rsidRPr="00B60BB5">
        <w:rPr>
          <w:rFonts w:asciiTheme="majorHAnsi" w:hAnsiTheme="majorHAnsi" w:cs="Times New Roman"/>
          <w:i/>
          <w:color w:val="646464"/>
          <w:sz w:val="24"/>
          <w:szCs w:val="24"/>
        </w:rPr>
        <w:t xml:space="preserve"> 202</w:t>
      </w:r>
      <w:r>
        <w:rPr>
          <w:rFonts w:asciiTheme="majorHAnsi" w:hAnsiTheme="majorHAnsi" w:cs="Times New Roman"/>
          <w:i/>
          <w:color w:val="646464"/>
          <w:sz w:val="24"/>
          <w:szCs w:val="24"/>
        </w:rPr>
        <w:t>1</w:t>
      </w:r>
    </w:p>
    <w:p w14:paraId="2C0A2BBA" w14:textId="77777777" w:rsidR="002544C5" w:rsidRPr="00DD38C0" w:rsidRDefault="000B27E4" w:rsidP="00EE6BF2">
      <w:pPr>
        <w:spacing w:before="160" w:line="276" w:lineRule="auto"/>
        <w:jc w:val="center"/>
        <w:rPr>
          <w:rFonts w:asciiTheme="majorHAnsi" w:hAnsiTheme="majorHAnsi" w:cs="Times New Roman"/>
          <w:color w:val="000000" w:themeColor="text1"/>
          <w:sz w:val="4"/>
          <w:szCs w:val="24"/>
        </w:rPr>
      </w:pPr>
    </w:p>
    <w:p w14:paraId="1D3C51F8" w14:textId="77777777" w:rsidR="00775662" w:rsidRDefault="000B27E4" w:rsidP="00EE6BF2">
      <w:pPr>
        <w:spacing w:line="276" w:lineRule="auto"/>
        <w:rPr>
          <w:rFonts w:asciiTheme="majorHAnsi" w:hAnsiTheme="majorHAnsi"/>
          <w:b/>
          <w:color w:val="3E7BB6"/>
          <w:sz w:val="28"/>
          <w:szCs w:val="24"/>
        </w:rPr>
      </w:pPr>
      <w:r w:rsidRPr="00AF2FAA">
        <w:rPr>
          <w:rFonts w:asciiTheme="majorHAnsi" w:hAnsiTheme="majorHAnsi"/>
          <w:b/>
          <w:color w:val="3E7BB6"/>
          <w:sz w:val="28"/>
          <w:szCs w:val="24"/>
        </w:rPr>
        <w:t>U.S. Markets</w:t>
      </w:r>
    </w:p>
    <w:p w14:paraId="2E2150F1" w14:textId="77777777" w:rsidR="00C90421" w:rsidRPr="00C90421" w:rsidRDefault="000B27E4" w:rsidP="00C90421">
      <w:pPr>
        <w:spacing w:line="276" w:lineRule="auto"/>
        <w:jc w:val="both"/>
        <w:rPr>
          <w:rFonts w:asciiTheme="majorHAnsi" w:hAnsiTheme="majorHAnsi" w:cstheme="majorHAnsi"/>
          <w:sz w:val="24"/>
          <w:szCs w:val="24"/>
        </w:rPr>
      </w:pPr>
      <w:r w:rsidRPr="00C90421">
        <w:rPr>
          <w:rFonts w:asciiTheme="majorHAnsi" w:hAnsiTheme="majorHAnsi" w:cstheme="majorHAnsi"/>
          <w:sz w:val="24"/>
          <w:szCs w:val="24"/>
        </w:rPr>
        <w:t xml:space="preserve">The stock market hit a pocket of turbulence in September, with investors turning cautious amid Delta variant infections, slowing economic growth and </w:t>
      </w:r>
      <w:r w:rsidRPr="00C90421">
        <w:rPr>
          <w:rFonts w:asciiTheme="majorHAnsi" w:hAnsiTheme="majorHAnsi" w:cstheme="majorHAnsi"/>
          <w:sz w:val="24"/>
          <w:szCs w:val="24"/>
        </w:rPr>
        <w:t>ongoing policy debate in Washington.</w:t>
      </w:r>
    </w:p>
    <w:p w14:paraId="4F2AE9B8" w14:textId="77777777" w:rsidR="00775662" w:rsidRPr="0047025A" w:rsidRDefault="000B27E4" w:rsidP="00C90421">
      <w:pPr>
        <w:spacing w:line="276" w:lineRule="auto"/>
        <w:jc w:val="both"/>
        <w:rPr>
          <w:rFonts w:asciiTheme="majorHAnsi" w:hAnsiTheme="majorHAnsi"/>
          <w:color w:val="002060"/>
          <w:sz w:val="24"/>
          <w:szCs w:val="24"/>
        </w:rPr>
      </w:pPr>
      <w:r w:rsidRPr="00C90421">
        <w:rPr>
          <w:rFonts w:asciiTheme="majorHAnsi" w:hAnsiTheme="majorHAnsi" w:cstheme="majorHAnsi"/>
          <w:sz w:val="24"/>
          <w:szCs w:val="24"/>
        </w:rPr>
        <w:t>The Dow Jones Industrial Average fell 4.29 percent while the Standard &amp; Poor’s 500 Index lost 4.76 percent. The Nasdaq Composite dropped 5.31 percent.</w:t>
      </w:r>
      <w:r w:rsidRPr="00C90421">
        <w:rPr>
          <w:rFonts w:asciiTheme="majorHAnsi" w:hAnsiTheme="majorHAnsi" w:cstheme="majorHAnsi"/>
          <w:sz w:val="24"/>
          <w:szCs w:val="24"/>
          <w:vertAlign w:val="superscript"/>
        </w:rPr>
        <w:t>1</w:t>
      </w:r>
    </w:p>
    <w:p w14:paraId="3C550C37" w14:textId="77777777" w:rsidR="00775662" w:rsidRPr="00DD38C0" w:rsidRDefault="000B27E4" w:rsidP="009B3BCE">
      <w:pPr>
        <w:spacing w:line="240" w:lineRule="auto"/>
        <w:rPr>
          <w:rFonts w:asciiTheme="majorHAnsi" w:hAnsiTheme="majorHAnsi"/>
          <w:sz w:val="6"/>
          <w:szCs w:val="24"/>
        </w:rPr>
      </w:pPr>
    </w:p>
    <w:p w14:paraId="25C261B0" w14:textId="77777777" w:rsidR="00775662" w:rsidRDefault="000B27E4" w:rsidP="00EE6BF2">
      <w:pPr>
        <w:spacing w:line="276" w:lineRule="auto"/>
        <w:rPr>
          <w:rFonts w:asciiTheme="majorHAnsi" w:hAnsiTheme="majorHAnsi"/>
          <w:b/>
          <w:color w:val="3E7BB6"/>
          <w:sz w:val="28"/>
          <w:szCs w:val="24"/>
        </w:rPr>
      </w:pPr>
      <w:r w:rsidRPr="00C90421">
        <w:rPr>
          <w:rFonts w:asciiTheme="majorHAnsi" w:hAnsiTheme="majorHAnsi"/>
          <w:b/>
          <w:color w:val="3E7BB6"/>
          <w:sz w:val="28"/>
          <w:szCs w:val="24"/>
        </w:rPr>
        <w:t>Sour Sentiment</w:t>
      </w:r>
      <w:r w:rsidRPr="00775662">
        <w:rPr>
          <w:rFonts w:asciiTheme="majorHAnsi" w:hAnsiTheme="majorHAnsi"/>
          <w:b/>
          <w:color w:val="3E7BB6"/>
          <w:sz w:val="28"/>
          <w:szCs w:val="24"/>
        </w:rPr>
        <w:t xml:space="preserve"> </w:t>
      </w:r>
    </w:p>
    <w:p w14:paraId="2D2A7042" w14:textId="77777777" w:rsidR="00F26D5E" w:rsidRPr="00896375" w:rsidRDefault="000B27E4" w:rsidP="00AF2FAA">
      <w:pPr>
        <w:spacing w:line="276" w:lineRule="auto"/>
        <w:jc w:val="both"/>
        <w:rPr>
          <w:rStyle w:val="st"/>
          <w:rFonts w:asciiTheme="majorHAnsi" w:hAnsiTheme="majorHAnsi"/>
          <w:sz w:val="24"/>
          <w:szCs w:val="24"/>
        </w:rPr>
      </w:pPr>
      <w:r w:rsidRPr="00C90421">
        <w:rPr>
          <w:rStyle w:val="st"/>
          <w:rFonts w:asciiTheme="majorHAnsi" w:hAnsiTheme="majorHAnsi" w:cstheme="majorHAnsi"/>
          <w:sz w:val="24"/>
          <w:szCs w:val="24"/>
        </w:rPr>
        <w:t xml:space="preserve">Investor sentiment deteriorated </w:t>
      </w:r>
      <w:r w:rsidRPr="00C90421">
        <w:rPr>
          <w:rStyle w:val="st"/>
          <w:rFonts w:asciiTheme="majorHAnsi" w:hAnsiTheme="majorHAnsi" w:cstheme="majorHAnsi"/>
          <w:sz w:val="24"/>
          <w:szCs w:val="24"/>
        </w:rPr>
        <w:t>throughout the month. Weighing on stocks was uncertainty about the Federal Reserve Bank’s tapering plans, the fiscal and tax policy proposals being debated in Washington, and the economic growth implications of continuing supply bottlenecks</w:t>
      </w:r>
      <w:r>
        <w:rPr>
          <w:rStyle w:val="st"/>
          <w:rFonts w:asciiTheme="majorHAnsi" w:hAnsiTheme="majorHAnsi"/>
          <w:sz w:val="24"/>
          <w:szCs w:val="24"/>
        </w:rPr>
        <w:t>.</w:t>
      </w:r>
    </w:p>
    <w:p w14:paraId="50216D37" w14:textId="77777777" w:rsidR="003F06AB" w:rsidRPr="00DD38C0" w:rsidRDefault="000B27E4" w:rsidP="003F06AB">
      <w:pPr>
        <w:spacing w:line="276" w:lineRule="auto"/>
        <w:jc w:val="both"/>
        <w:rPr>
          <w:rFonts w:asciiTheme="majorHAnsi" w:hAnsiTheme="majorHAnsi"/>
          <w:sz w:val="6"/>
          <w:szCs w:val="24"/>
        </w:rPr>
      </w:pPr>
    </w:p>
    <w:p w14:paraId="2D67BDA2" w14:textId="77777777" w:rsidR="00AF2FAA" w:rsidRDefault="000B27E4" w:rsidP="00A4481D">
      <w:pPr>
        <w:spacing w:line="276" w:lineRule="auto"/>
        <w:jc w:val="both"/>
        <w:rPr>
          <w:rFonts w:asciiTheme="majorHAnsi" w:hAnsiTheme="majorHAnsi"/>
          <w:b/>
          <w:color w:val="3E7BB6"/>
          <w:sz w:val="28"/>
          <w:szCs w:val="24"/>
        </w:rPr>
      </w:pPr>
      <w:r w:rsidRPr="00C90421">
        <w:rPr>
          <w:rFonts w:asciiTheme="majorHAnsi" w:hAnsiTheme="majorHAnsi"/>
          <w:b/>
          <w:color w:val="3E7BB6"/>
          <w:sz w:val="28"/>
          <w:szCs w:val="24"/>
        </w:rPr>
        <w:t>China’s Influ</w:t>
      </w:r>
      <w:r w:rsidRPr="00C90421">
        <w:rPr>
          <w:rFonts w:asciiTheme="majorHAnsi" w:hAnsiTheme="majorHAnsi"/>
          <w:b/>
          <w:color w:val="3E7BB6"/>
          <w:sz w:val="28"/>
          <w:szCs w:val="24"/>
        </w:rPr>
        <w:t>ence</w:t>
      </w:r>
      <w:r w:rsidRPr="00AF2FAA">
        <w:rPr>
          <w:rFonts w:asciiTheme="majorHAnsi" w:hAnsiTheme="majorHAnsi"/>
          <w:b/>
          <w:color w:val="3E7BB6"/>
          <w:sz w:val="28"/>
          <w:szCs w:val="24"/>
        </w:rPr>
        <w:t xml:space="preserve"> </w:t>
      </w:r>
    </w:p>
    <w:p w14:paraId="7FE2C3D8" w14:textId="77777777" w:rsidR="00775662" w:rsidRPr="00DD38C0" w:rsidRDefault="000B27E4" w:rsidP="00EE6BF2">
      <w:pPr>
        <w:spacing w:line="276" w:lineRule="auto"/>
        <w:jc w:val="both"/>
        <w:rPr>
          <w:rFonts w:asciiTheme="majorHAnsi" w:hAnsiTheme="majorHAnsi"/>
          <w:sz w:val="6"/>
          <w:szCs w:val="24"/>
        </w:rPr>
      </w:pPr>
      <w:r w:rsidRPr="00C90421">
        <w:rPr>
          <w:rFonts w:asciiTheme="majorHAnsi" w:hAnsiTheme="majorHAnsi"/>
          <w:sz w:val="24"/>
          <w:szCs w:val="24"/>
        </w:rPr>
        <w:t>This unease culminated in the market’s reaction to news that a large, heavily indebted property development company in China was in danger of not making its scheduled interest payments—a prospect that could lead to the company’s bankruptcy. The angst</w:t>
      </w:r>
      <w:r w:rsidRPr="00C90421">
        <w:rPr>
          <w:rFonts w:asciiTheme="majorHAnsi" w:hAnsiTheme="majorHAnsi"/>
          <w:sz w:val="24"/>
          <w:szCs w:val="24"/>
        </w:rPr>
        <w:t xml:space="preserve"> dissipated quickly as investors realized that the company’s difficulties appeared limited</w:t>
      </w:r>
      <w:r w:rsidRPr="00521D57">
        <w:rPr>
          <w:rFonts w:asciiTheme="majorHAnsi" w:hAnsiTheme="majorHAnsi"/>
          <w:sz w:val="24"/>
          <w:szCs w:val="24"/>
        </w:rPr>
        <w:t>.</w:t>
      </w:r>
    </w:p>
    <w:p w14:paraId="39802710" w14:textId="77777777" w:rsidR="00B87E49" w:rsidRDefault="000B27E4" w:rsidP="00946B0D">
      <w:pPr>
        <w:pStyle w:val="PlainText"/>
        <w:spacing w:after="160" w:line="276" w:lineRule="auto"/>
        <w:jc w:val="both"/>
        <w:rPr>
          <w:rFonts w:asciiTheme="majorHAnsi" w:hAnsiTheme="majorHAnsi"/>
          <w:b/>
          <w:color w:val="3E7BB6"/>
          <w:sz w:val="28"/>
          <w:szCs w:val="24"/>
        </w:rPr>
      </w:pPr>
      <w:r w:rsidRPr="00C90421">
        <w:rPr>
          <w:rFonts w:asciiTheme="majorHAnsi" w:hAnsiTheme="majorHAnsi"/>
          <w:b/>
          <w:color w:val="3E7BB6"/>
          <w:sz w:val="28"/>
          <w:szCs w:val="24"/>
        </w:rPr>
        <w:t>Fed’s Update</w:t>
      </w:r>
    </w:p>
    <w:p w14:paraId="04675261" w14:textId="77777777" w:rsidR="00C90421" w:rsidRPr="00C90421" w:rsidRDefault="000B27E4" w:rsidP="00C90421">
      <w:pPr>
        <w:pStyle w:val="PlainText"/>
        <w:spacing w:line="276" w:lineRule="auto"/>
        <w:jc w:val="both"/>
        <w:rPr>
          <w:rFonts w:asciiTheme="majorHAnsi" w:hAnsiTheme="majorHAnsi" w:cstheme="majorHAnsi"/>
          <w:sz w:val="24"/>
          <w:szCs w:val="24"/>
        </w:rPr>
      </w:pPr>
      <w:r w:rsidRPr="00C90421">
        <w:rPr>
          <w:rFonts w:asciiTheme="majorHAnsi" w:hAnsiTheme="majorHAnsi" w:cstheme="majorHAnsi"/>
          <w:sz w:val="24"/>
          <w:szCs w:val="24"/>
        </w:rPr>
        <w:t xml:space="preserve">With that, the market turned its focus to the Federal Reserve’s Federal Open Market Committee meeting to learn what the Fed’s plan would be with </w:t>
      </w:r>
      <w:r w:rsidRPr="00C90421">
        <w:rPr>
          <w:rFonts w:asciiTheme="majorHAnsi" w:hAnsiTheme="majorHAnsi" w:cstheme="majorHAnsi"/>
          <w:sz w:val="24"/>
          <w:szCs w:val="24"/>
        </w:rPr>
        <w:t>tapering and interest rates.</w:t>
      </w:r>
    </w:p>
    <w:p w14:paraId="0AD0043F" w14:textId="77777777" w:rsidR="00C90421" w:rsidRPr="00C90421" w:rsidRDefault="000B27E4" w:rsidP="00C90421">
      <w:pPr>
        <w:pStyle w:val="PlainText"/>
        <w:spacing w:line="276" w:lineRule="auto"/>
        <w:jc w:val="both"/>
        <w:rPr>
          <w:rFonts w:asciiTheme="majorHAnsi" w:hAnsiTheme="majorHAnsi" w:cstheme="majorHAnsi"/>
          <w:sz w:val="24"/>
          <w:szCs w:val="24"/>
        </w:rPr>
      </w:pPr>
    </w:p>
    <w:p w14:paraId="693F906B" w14:textId="77777777" w:rsidR="00E35A04" w:rsidRPr="00AF2FAA" w:rsidRDefault="000B27E4" w:rsidP="00C90421">
      <w:pPr>
        <w:pStyle w:val="PlainText"/>
        <w:spacing w:line="276" w:lineRule="auto"/>
        <w:jc w:val="both"/>
        <w:rPr>
          <w:rFonts w:asciiTheme="majorHAnsi" w:hAnsiTheme="majorHAnsi" w:cstheme="majorHAnsi"/>
          <w:sz w:val="24"/>
          <w:szCs w:val="24"/>
          <w:vertAlign w:val="superscript"/>
        </w:rPr>
      </w:pPr>
      <w:r w:rsidRPr="00C90421">
        <w:rPr>
          <w:rFonts w:asciiTheme="majorHAnsi" w:hAnsiTheme="majorHAnsi" w:cstheme="majorHAnsi"/>
          <w:sz w:val="24"/>
          <w:szCs w:val="24"/>
        </w:rPr>
        <w:t>Fed Chair Jerome Powell said that tapering would not begin immediately, but could start by November 2021. The markets also learned that the day is drawing closer to when interest rates may be increased. The support among Fed o</w:t>
      </w:r>
      <w:r w:rsidRPr="00C90421">
        <w:rPr>
          <w:rFonts w:asciiTheme="majorHAnsi" w:hAnsiTheme="majorHAnsi" w:cstheme="majorHAnsi"/>
          <w:sz w:val="24"/>
          <w:szCs w:val="24"/>
        </w:rPr>
        <w:t xml:space="preserve">fficials for a rate hike has increased, with half of the </w:t>
      </w:r>
      <w:r w:rsidRPr="00C90421">
        <w:rPr>
          <w:rFonts w:asciiTheme="majorHAnsi" w:hAnsiTheme="majorHAnsi" w:cstheme="majorHAnsi"/>
          <w:sz w:val="24"/>
          <w:szCs w:val="24"/>
        </w:rPr>
        <w:lastRenderedPageBreak/>
        <w:t>18 Fed members expecting that interest rates will be higher by the close of next year versus just seven who thought so in June.</w:t>
      </w:r>
      <w:r w:rsidRPr="00C90421">
        <w:rPr>
          <w:rFonts w:asciiTheme="majorHAnsi" w:hAnsiTheme="majorHAnsi" w:cstheme="majorHAnsi"/>
          <w:sz w:val="24"/>
          <w:szCs w:val="24"/>
          <w:vertAlign w:val="superscript"/>
        </w:rPr>
        <w:t>2,3,4</w:t>
      </w:r>
    </w:p>
    <w:p w14:paraId="4694472A" w14:textId="77777777" w:rsidR="00C22332" w:rsidRPr="00DD38C0" w:rsidRDefault="000B27E4" w:rsidP="00C22332">
      <w:pPr>
        <w:spacing w:line="276" w:lineRule="auto"/>
        <w:jc w:val="both"/>
        <w:rPr>
          <w:rFonts w:asciiTheme="majorHAnsi" w:hAnsiTheme="majorHAnsi"/>
          <w:sz w:val="6"/>
          <w:szCs w:val="24"/>
        </w:rPr>
      </w:pPr>
    </w:p>
    <w:p w14:paraId="417AFE7C" w14:textId="77777777" w:rsidR="00DD38C0" w:rsidRPr="00775662" w:rsidRDefault="000B27E4" w:rsidP="00946B0D">
      <w:pPr>
        <w:spacing w:line="276" w:lineRule="auto"/>
        <w:jc w:val="both"/>
        <w:rPr>
          <w:rFonts w:asciiTheme="majorHAnsi" w:hAnsiTheme="majorHAnsi"/>
          <w:b/>
          <w:color w:val="3E7BB6"/>
          <w:sz w:val="28"/>
          <w:szCs w:val="24"/>
        </w:rPr>
      </w:pPr>
      <w:r w:rsidRPr="00C90421">
        <w:rPr>
          <w:rFonts w:asciiTheme="majorHAnsi" w:hAnsiTheme="majorHAnsi"/>
          <w:b/>
          <w:color w:val="3E7BB6"/>
          <w:sz w:val="28"/>
          <w:szCs w:val="24"/>
        </w:rPr>
        <w:t>Higher Yields</w:t>
      </w:r>
    </w:p>
    <w:p w14:paraId="2681A7ED" w14:textId="77777777" w:rsidR="001B3C06" w:rsidRPr="00253458" w:rsidRDefault="000B27E4" w:rsidP="00923CB9">
      <w:pPr>
        <w:pStyle w:val="PlainText"/>
        <w:spacing w:line="276" w:lineRule="auto"/>
        <w:jc w:val="both"/>
        <w:rPr>
          <w:rStyle w:val="st"/>
          <w:rFonts w:asciiTheme="majorHAnsi" w:hAnsiTheme="majorHAnsi" w:cstheme="majorHAnsi"/>
          <w:sz w:val="24"/>
          <w:szCs w:val="24"/>
          <w:vertAlign w:val="superscript"/>
        </w:rPr>
      </w:pPr>
      <w:r w:rsidRPr="00C90421">
        <w:rPr>
          <w:rStyle w:val="st"/>
          <w:rFonts w:asciiTheme="majorHAnsi" w:hAnsiTheme="majorHAnsi"/>
          <w:sz w:val="24"/>
          <w:szCs w:val="24"/>
        </w:rPr>
        <w:t>Just as the market appeared to settle down, volatil</w:t>
      </w:r>
      <w:r w:rsidRPr="00C90421">
        <w:rPr>
          <w:rStyle w:val="st"/>
          <w:rFonts w:asciiTheme="majorHAnsi" w:hAnsiTheme="majorHAnsi"/>
          <w:sz w:val="24"/>
          <w:szCs w:val="24"/>
        </w:rPr>
        <w:t>ity picked up again as the 10-year Treasury yield climbed in the final trading days of the month. Technology and other high-growth stocks felt the bump in yields, which added to losses as the month closed</w:t>
      </w:r>
      <w:r w:rsidRPr="00253458">
        <w:rPr>
          <w:rFonts w:asciiTheme="majorHAnsi" w:hAnsiTheme="majorHAnsi" w:cstheme="majorHAnsi"/>
          <w:sz w:val="24"/>
          <w:szCs w:val="24"/>
        </w:rPr>
        <w:t>.</w:t>
      </w:r>
    </w:p>
    <w:p w14:paraId="5713F082" w14:textId="77777777" w:rsidR="00A4481D" w:rsidRPr="00DD38C0" w:rsidRDefault="000B27E4" w:rsidP="00A4481D">
      <w:pPr>
        <w:spacing w:line="276" w:lineRule="auto"/>
        <w:jc w:val="both"/>
        <w:rPr>
          <w:rFonts w:asciiTheme="majorHAnsi" w:hAnsiTheme="majorHAnsi"/>
          <w:sz w:val="6"/>
          <w:szCs w:val="24"/>
        </w:rPr>
      </w:pPr>
    </w:p>
    <w:p w14:paraId="32FE9B05" w14:textId="77777777" w:rsidR="00C90421" w:rsidRPr="00775662" w:rsidRDefault="000B27E4" w:rsidP="00C90421">
      <w:pPr>
        <w:spacing w:line="276" w:lineRule="auto"/>
        <w:jc w:val="both"/>
        <w:rPr>
          <w:rFonts w:asciiTheme="majorHAnsi" w:hAnsiTheme="majorHAnsi"/>
          <w:b/>
          <w:color w:val="3E7BB6"/>
          <w:sz w:val="28"/>
          <w:szCs w:val="24"/>
        </w:rPr>
      </w:pPr>
      <w:r w:rsidRPr="00C90421">
        <w:rPr>
          <w:rFonts w:asciiTheme="majorHAnsi" w:hAnsiTheme="majorHAnsi"/>
          <w:b/>
          <w:color w:val="3E7BB6"/>
          <w:sz w:val="28"/>
          <w:szCs w:val="24"/>
        </w:rPr>
        <w:t>Sector Scorecard</w:t>
      </w:r>
    </w:p>
    <w:p w14:paraId="6C8DE8F4" w14:textId="77777777" w:rsidR="00C90421" w:rsidRPr="00253458" w:rsidRDefault="000B27E4" w:rsidP="00C90421">
      <w:pPr>
        <w:pStyle w:val="PlainText"/>
        <w:spacing w:line="276" w:lineRule="auto"/>
        <w:jc w:val="both"/>
        <w:rPr>
          <w:rStyle w:val="st"/>
          <w:rFonts w:asciiTheme="majorHAnsi" w:hAnsiTheme="majorHAnsi" w:cstheme="majorHAnsi"/>
          <w:sz w:val="24"/>
          <w:szCs w:val="24"/>
          <w:vertAlign w:val="superscript"/>
        </w:rPr>
      </w:pPr>
      <w:r w:rsidRPr="00C90421">
        <w:rPr>
          <w:rStyle w:val="st"/>
          <w:rFonts w:asciiTheme="majorHAnsi" w:hAnsiTheme="majorHAnsi"/>
          <w:sz w:val="24"/>
          <w:szCs w:val="24"/>
        </w:rPr>
        <w:t xml:space="preserve">Only two sectors managed </w:t>
      </w:r>
      <w:r w:rsidRPr="00C90421">
        <w:rPr>
          <w:rStyle w:val="st"/>
          <w:rFonts w:asciiTheme="majorHAnsi" w:hAnsiTheme="majorHAnsi"/>
          <w:sz w:val="24"/>
          <w:szCs w:val="24"/>
        </w:rPr>
        <w:t>gains in September, Energy (+7.26 percent) and Consumer Discretionary (+0.36 percent). The remaining sectors dropped, including Communication Services (-5.15 percent), Consumer Staples (-2.34 percent), Financials (-2.23 percent), Health Care (-4.27 percent</w:t>
      </w:r>
      <w:r w:rsidRPr="00C90421">
        <w:rPr>
          <w:rStyle w:val="st"/>
          <w:rFonts w:asciiTheme="majorHAnsi" w:hAnsiTheme="majorHAnsi"/>
          <w:sz w:val="24"/>
          <w:szCs w:val="24"/>
        </w:rPr>
        <w:t>), Industrials (-4.79 percent), Materials (-6.50 percent), Real Estate (-3.54 percent), Technology (-4.81 percent), and Utilities (-6.03 percent).</w:t>
      </w:r>
      <w:r w:rsidRPr="00C90421">
        <w:rPr>
          <w:rStyle w:val="st"/>
          <w:rFonts w:asciiTheme="majorHAnsi" w:hAnsiTheme="majorHAnsi"/>
          <w:sz w:val="24"/>
          <w:szCs w:val="24"/>
          <w:vertAlign w:val="superscript"/>
        </w:rPr>
        <w:t>5</w:t>
      </w:r>
    </w:p>
    <w:p w14:paraId="1B2EC630" w14:textId="77777777" w:rsidR="00C90421" w:rsidRPr="00DD38C0" w:rsidRDefault="000B27E4" w:rsidP="00C90421">
      <w:pPr>
        <w:spacing w:line="276" w:lineRule="auto"/>
        <w:jc w:val="both"/>
        <w:rPr>
          <w:rFonts w:asciiTheme="majorHAnsi" w:hAnsiTheme="majorHAnsi"/>
          <w:sz w:val="6"/>
          <w:szCs w:val="24"/>
        </w:rPr>
      </w:pPr>
    </w:p>
    <w:p w14:paraId="6C75E87D" w14:textId="77777777" w:rsidR="00C90421" w:rsidRPr="00775662" w:rsidRDefault="000B27E4" w:rsidP="00C90421">
      <w:pPr>
        <w:spacing w:line="276" w:lineRule="auto"/>
        <w:jc w:val="both"/>
        <w:rPr>
          <w:rFonts w:asciiTheme="majorHAnsi" w:hAnsiTheme="majorHAnsi"/>
          <w:b/>
          <w:color w:val="3E7BB6"/>
          <w:sz w:val="28"/>
          <w:szCs w:val="24"/>
        </w:rPr>
      </w:pPr>
      <w:r w:rsidRPr="00E1190A">
        <w:rPr>
          <w:rFonts w:asciiTheme="majorHAnsi" w:hAnsiTheme="majorHAnsi"/>
          <w:b/>
          <w:color w:val="3E7BB6"/>
          <w:sz w:val="28"/>
          <w:szCs w:val="24"/>
        </w:rPr>
        <w:t>What Investors May Be Talking About in October</w:t>
      </w:r>
    </w:p>
    <w:p w14:paraId="02650770" w14:textId="77777777" w:rsidR="00E1190A" w:rsidRPr="00E1190A" w:rsidRDefault="000B27E4" w:rsidP="00E1190A">
      <w:pPr>
        <w:spacing w:line="276" w:lineRule="auto"/>
        <w:jc w:val="both"/>
        <w:rPr>
          <w:rStyle w:val="st"/>
          <w:rFonts w:asciiTheme="majorHAnsi" w:eastAsia="Calibri" w:hAnsiTheme="majorHAnsi" w:cs="Consolas"/>
          <w:sz w:val="24"/>
          <w:szCs w:val="24"/>
        </w:rPr>
      </w:pPr>
      <w:r w:rsidRPr="00E1190A">
        <w:rPr>
          <w:rStyle w:val="st"/>
          <w:rFonts w:asciiTheme="majorHAnsi" w:eastAsia="Calibri" w:hAnsiTheme="majorHAnsi" w:cs="Consolas"/>
          <w:sz w:val="24"/>
          <w:szCs w:val="24"/>
        </w:rPr>
        <w:t>Over the next several weeks, expect more talk about Jerome P</w:t>
      </w:r>
      <w:r w:rsidRPr="00E1190A">
        <w:rPr>
          <w:rStyle w:val="st"/>
          <w:rFonts w:asciiTheme="majorHAnsi" w:eastAsia="Calibri" w:hAnsiTheme="majorHAnsi" w:cs="Consolas"/>
          <w:sz w:val="24"/>
          <w:szCs w:val="24"/>
        </w:rPr>
        <w:t>owell, whose four-year term as Fed Chair ends in February 2022.</w:t>
      </w:r>
    </w:p>
    <w:p w14:paraId="78DB0942" w14:textId="77777777" w:rsidR="00E1190A" w:rsidRPr="00E1190A" w:rsidRDefault="000B27E4" w:rsidP="00E1190A">
      <w:pPr>
        <w:spacing w:line="276" w:lineRule="auto"/>
        <w:jc w:val="both"/>
        <w:rPr>
          <w:rStyle w:val="st"/>
          <w:rFonts w:asciiTheme="majorHAnsi" w:eastAsia="Calibri" w:hAnsiTheme="majorHAnsi" w:cs="Consolas"/>
          <w:sz w:val="24"/>
          <w:szCs w:val="24"/>
        </w:rPr>
      </w:pPr>
      <w:r w:rsidRPr="00E1190A">
        <w:rPr>
          <w:rStyle w:val="st"/>
          <w:rFonts w:asciiTheme="majorHAnsi" w:eastAsia="Calibri" w:hAnsiTheme="majorHAnsi" w:cs="Consolas"/>
          <w:sz w:val="24"/>
          <w:szCs w:val="24"/>
        </w:rPr>
        <w:t>A survey earlier this year indicated that Wall Street overwhelmingly believed Powell would be renominated to a second term by President Biden, with even a greater share of respondents expressi</w:t>
      </w:r>
      <w:r w:rsidRPr="00E1190A">
        <w:rPr>
          <w:rStyle w:val="st"/>
          <w:rFonts w:asciiTheme="majorHAnsi" w:eastAsia="Calibri" w:hAnsiTheme="majorHAnsi" w:cs="Consolas"/>
          <w:sz w:val="24"/>
          <w:szCs w:val="24"/>
        </w:rPr>
        <w:t>ng the view that he deserved a second term. Biden is expected to act soon, knowing that any nomination needs to undergo a Senate confirmation process.</w:t>
      </w:r>
      <w:r w:rsidRPr="00E1190A">
        <w:rPr>
          <w:rStyle w:val="st"/>
          <w:rFonts w:asciiTheme="majorHAnsi" w:eastAsia="Calibri" w:hAnsiTheme="majorHAnsi" w:cs="Consolas"/>
          <w:sz w:val="24"/>
          <w:szCs w:val="24"/>
          <w:vertAlign w:val="superscript"/>
        </w:rPr>
        <w:t>6</w:t>
      </w:r>
      <w:r w:rsidRPr="00E1190A">
        <w:rPr>
          <w:rStyle w:val="st"/>
          <w:rFonts w:asciiTheme="majorHAnsi" w:eastAsia="Calibri" w:hAnsiTheme="majorHAnsi" w:cs="Consolas"/>
          <w:sz w:val="24"/>
          <w:szCs w:val="24"/>
        </w:rPr>
        <w:t xml:space="preserve"> </w:t>
      </w:r>
    </w:p>
    <w:p w14:paraId="05FF2451" w14:textId="77777777" w:rsidR="00E1190A" w:rsidRPr="00E1190A" w:rsidRDefault="000B27E4" w:rsidP="00E1190A">
      <w:pPr>
        <w:spacing w:line="276" w:lineRule="auto"/>
        <w:jc w:val="both"/>
        <w:rPr>
          <w:rStyle w:val="st"/>
          <w:rFonts w:asciiTheme="majorHAnsi" w:eastAsia="Calibri" w:hAnsiTheme="majorHAnsi" w:cs="Consolas"/>
          <w:sz w:val="24"/>
          <w:szCs w:val="24"/>
        </w:rPr>
      </w:pPr>
      <w:r w:rsidRPr="00E1190A">
        <w:rPr>
          <w:rStyle w:val="st"/>
          <w:rFonts w:asciiTheme="majorHAnsi" w:eastAsia="Calibri" w:hAnsiTheme="majorHAnsi" w:cs="Consolas"/>
          <w:sz w:val="24"/>
          <w:szCs w:val="24"/>
        </w:rPr>
        <w:t>But Powell’s prospects for being renominated appear to be less certain today.</w:t>
      </w:r>
    </w:p>
    <w:p w14:paraId="2820DADE" w14:textId="77777777" w:rsidR="00E1190A" w:rsidRPr="00E1190A" w:rsidRDefault="000B27E4" w:rsidP="00E1190A">
      <w:pPr>
        <w:spacing w:line="276" w:lineRule="auto"/>
        <w:jc w:val="both"/>
        <w:rPr>
          <w:rStyle w:val="st"/>
          <w:rFonts w:asciiTheme="majorHAnsi" w:eastAsia="Calibri" w:hAnsiTheme="majorHAnsi" w:cs="Consolas"/>
          <w:sz w:val="24"/>
          <w:szCs w:val="24"/>
        </w:rPr>
      </w:pPr>
      <w:r w:rsidRPr="00E1190A">
        <w:rPr>
          <w:rStyle w:val="st"/>
          <w:rFonts w:asciiTheme="majorHAnsi" w:eastAsia="Calibri" w:hAnsiTheme="majorHAnsi" w:cs="Consolas"/>
          <w:sz w:val="24"/>
          <w:szCs w:val="24"/>
        </w:rPr>
        <w:t>During an appearance by P</w:t>
      </w:r>
      <w:r w:rsidRPr="00E1190A">
        <w:rPr>
          <w:rStyle w:val="st"/>
          <w:rFonts w:asciiTheme="majorHAnsi" w:eastAsia="Calibri" w:hAnsiTheme="majorHAnsi" w:cs="Consolas"/>
          <w:sz w:val="24"/>
          <w:szCs w:val="24"/>
        </w:rPr>
        <w:t>owell before the Senate Banking Committee in September, a prominent committee member stated that she would not support Powell’s nomination. Other senators have voiced criticisms of Powell, though they have not publicly declared their opposition.</w:t>
      </w:r>
    </w:p>
    <w:p w14:paraId="0F794D45" w14:textId="77777777" w:rsidR="000E566E" w:rsidRPr="008059E3" w:rsidRDefault="000B27E4" w:rsidP="00AF2FAA">
      <w:pPr>
        <w:spacing w:line="276" w:lineRule="auto"/>
        <w:jc w:val="both"/>
        <w:rPr>
          <w:rStyle w:val="st"/>
          <w:rFonts w:asciiTheme="majorHAnsi" w:hAnsiTheme="majorHAnsi"/>
          <w:sz w:val="24"/>
          <w:szCs w:val="24"/>
        </w:rPr>
      </w:pPr>
      <w:r w:rsidRPr="00E1190A">
        <w:rPr>
          <w:rStyle w:val="st"/>
          <w:rFonts w:asciiTheme="majorHAnsi" w:eastAsia="Calibri" w:hAnsiTheme="majorHAnsi" w:cs="Consolas"/>
          <w:sz w:val="24"/>
          <w:szCs w:val="24"/>
        </w:rPr>
        <w:t>Biden is n</w:t>
      </w:r>
      <w:r w:rsidRPr="00E1190A">
        <w:rPr>
          <w:rStyle w:val="st"/>
          <w:rFonts w:asciiTheme="majorHAnsi" w:eastAsia="Calibri" w:hAnsiTheme="majorHAnsi" w:cs="Consolas"/>
          <w:sz w:val="24"/>
          <w:szCs w:val="24"/>
        </w:rPr>
        <w:t>ot obligated to nominate Powell. For now, Powell continues to enjoy bipartisan support in the Senate for a second term, but if resistance to his renomination increases and throws a second term into doubt, it could have an unsettling impact on the markets</w:t>
      </w:r>
      <w:r w:rsidRPr="00FD6F01">
        <w:rPr>
          <w:rStyle w:val="st"/>
          <w:rFonts w:asciiTheme="majorHAnsi" w:hAnsiTheme="majorHAnsi"/>
          <w:sz w:val="24"/>
          <w:szCs w:val="24"/>
        </w:rPr>
        <w:t>.</w:t>
      </w:r>
    </w:p>
    <w:p w14:paraId="3B9602A5" w14:textId="3D15408E" w:rsidR="00E24345" w:rsidRDefault="000B27E4" w:rsidP="00EE6BF2">
      <w:pPr>
        <w:spacing w:line="276" w:lineRule="auto"/>
        <w:rPr>
          <w:rStyle w:val="st"/>
          <w:rFonts w:asciiTheme="majorHAnsi" w:hAnsiTheme="majorHAnsi"/>
          <w:sz w:val="4"/>
        </w:rPr>
      </w:pPr>
    </w:p>
    <w:p w14:paraId="735A68C4" w14:textId="6E721798" w:rsidR="00142D93" w:rsidRDefault="00142D93" w:rsidP="00EE6BF2">
      <w:pPr>
        <w:spacing w:line="276" w:lineRule="auto"/>
        <w:rPr>
          <w:rStyle w:val="st"/>
          <w:rFonts w:asciiTheme="majorHAnsi" w:hAnsiTheme="majorHAnsi"/>
          <w:sz w:val="4"/>
        </w:rPr>
      </w:pPr>
    </w:p>
    <w:p w14:paraId="2A000DBE" w14:textId="5F1BFEAC" w:rsidR="00142D93" w:rsidRDefault="00142D93" w:rsidP="00EE6BF2">
      <w:pPr>
        <w:spacing w:line="276" w:lineRule="auto"/>
        <w:rPr>
          <w:rStyle w:val="st"/>
          <w:rFonts w:asciiTheme="majorHAnsi" w:hAnsiTheme="majorHAnsi"/>
          <w:sz w:val="4"/>
        </w:rPr>
      </w:pPr>
    </w:p>
    <w:p w14:paraId="500605B8" w14:textId="121639A4" w:rsidR="00142D93" w:rsidRDefault="00142D93" w:rsidP="00EE6BF2">
      <w:pPr>
        <w:spacing w:line="276" w:lineRule="auto"/>
        <w:rPr>
          <w:rStyle w:val="st"/>
          <w:rFonts w:asciiTheme="majorHAnsi" w:hAnsiTheme="majorHAnsi"/>
          <w:sz w:val="4"/>
        </w:rPr>
      </w:pPr>
    </w:p>
    <w:p w14:paraId="79ADFB3A" w14:textId="228BD82F" w:rsidR="00142D93" w:rsidRDefault="00142D93" w:rsidP="00EE6BF2">
      <w:pPr>
        <w:spacing w:line="276" w:lineRule="auto"/>
        <w:rPr>
          <w:rStyle w:val="st"/>
          <w:rFonts w:asciiTheme="majorHAnsi" w:hAnsiTheme="majorHAnsi"/>
          <w:sz w:val="4"/>
        </w:rPr>
      </w:pPr>
    </w:p>
    <w:p w14:paraId="69F13D24" w14:textId="66C38583" w:rsidR="00142D93" w:rsidRDefault="00142D93" w:rsidP="00EE6BF2">
      <w:pPr>
        <w:spacing w:line="276" w:lineRule="auto"/>
        <w:rPr>
          <w:rStyle w:val="st"/>
          <w:rFonts w:asciiTheme="majorHAnsi" w:hAnsiTheme="majorHAnsi"/>
          <w:sz w:val="4"/>
        </w:rPr>
      </w:pPr>
    </w:p>
    <w:p w14:paraId="75E5E0F5" w14:textId="0EF40633" w:rsidR="00142D93" w:rsidRDefault="00142D93" w:rsidP="00EE6BF2">
      <w:pPr>
        <w:spacing w:line="276" w:lineRule="auto"/>
        <w:rPr>
          <w:rStyle w:val="st"/>
          <w:rFonts w:asciiTheme="majorHAnsi" w:hAnsiTheme="majorHAnsi"/>
          <w:sz w:val="4"/>
        </w:rPr>
      </w:pPr>
    </w:p>
    <w:p w14:paraId="429E9B48" w14:textId="77777777" w:rsidR="00142D93" w:rsidRPr="00DD38C0" w:rsidRDefault="00142D93" w:rsidP="00EE6BF2">
      <w:pPr>
        <w:spacing w:line="276" w:lineRule="auto"/>
        <w:rPr>
          <w:rStyle w:val="st"/>
          <w:rFonts w:asciiTheme="majorHAnsi" w:hAnsiTheme="majorHAnsi"/>
          <w:sz w:val="4"/>
        </w:rPr>
      </w:pPr>
    </w:p>
    <w:p w14:paraId="04F03EB9" w14:textId="77777777" w:rsidR="006D5A63" w:rsidRDefault="000B27E4" w:rsidP="00EE6BF2">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14:anchorId="7786C691" wp14:editId="087CA7FC">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FA2FD53" w14:textId="77777777" w:rsidR="006D5A63" w:rsidRPr="00DD38C0" w:rsidRDefault="000B27E4" w:rsidP="00EE6BF2">
      <w:pPr>
        <w:spacing w:line="276" w:lineRule="auto"/>
        <w:jc w:val="center"/>
        <w:rPr>
          <w:rStyle w:val="st"/>
          <w:rFonts w:asciiTheme="majorHAnsi" w:hAnsiTheme="majorHAnsi"/>
          <w:color w:val="E88E0A"/>
          <w:sz w:val="4"/>
        </w:rPr>
      </w:pPr>
    </w:p>
    <w:p w14:paraId="7ADD22E1" w14:textId="77777777" w:rsidR="006D5A63" w:rsidRPr="00DD38C0" w:rsidRDefault="000B27E4"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109007C1" w14:textId="77777777" w:rsidR="006D5A63" w:rsidRDefault="000B27E4"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3145130A" wp14:editId="41F82BB8">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00862DE4" w14:textId="77777777" w:rsidR="006D5A63" w:rsidRPr="0047025A" w:rsidRDefault="000B27E4"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E1190A">
        <w:rPr>
          <w:rStyle w:val="st"/>
          <w:rFonts w:asciiTheme="majorHAnsi" w:hAnsiTheme="majorHAnsi"/>
          <w:i/>
          <w:sz w:val="28"/>
        </w:rPr>
        <w:t>Collaboration among investment, legal</w:t>
      </w:r>
      <w:r>
        <w:rPr>
          <w:rStyle w:val="st"/>
          <w:rFonts w:asciiTheme="majorHAnsi" w:hAnsiTheme="majorHAnsi"/>
          <w:i/>
          <w:sz w:val="28"/>
        </w:rPr>
        <w:t>,</w:t>
      </w:r>
      <w:r w:rsidRPr="00E1190A">
        <w:rPr>
          <w:rStyle w:val="st"/>
          <w:rFonts w:asciiTheme="majorHAnsi" w:hAnsiTheme="majorHAnsi"/>
          <w:i/>
          <w:sz w:val="28"/>
        </w:rPr>
        <w:t xml:space="preserve"> and accounting professionals may make a big difference in the scope and execution of a financial strategy</w:t>
      </w:r>
      <w:r w:rsidRPr="00B60BB5">
        <w:rPr>
          <w:rStyle w:val="st"/>
          <w:rFonts w:asciiTheme="majorHAnsi" w:hAnsiTheme="majorHAnsi"/>
          <w:i/>
          <w:sz w:val="28"/>
        </w:rPr>
        <w:t>.</w:t>
      </w:r>
    </w:p>
    <w:p w14:paraId="369B2ED6" w14:textId="77777777" w:rsidR="006D5A63" w:rsidRPr="00DD38C0" w:rsidRDefault="000B27E4" w:rsidP="00EE6BF2">
      <w:pPr>
        <w:spacing w:line="276" w:lineRule="auto"/>
        <w:jc w:val="center"/>
        <w:rPr>
          <w:rStyle w:val="st"/>
          <w:rFonts w:asciiTheme="majorHAnsi" w:hAnsiTheme="majorHAnsi"/>
          <w:i/>
          <w:color w:val="E88E0A"/>
          <w:sz w:val="4"/>
        </w:rPr>
      </w:pPr>
    </w:p>
    <w:p w14:paraId="7A60AB9F" w14:textId="77777777" w:rsidR="00E24345" w:rsidRDefault="000B27E4"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8B1F773" wp14:editId="0E6EED2B">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9A4DCEF" w14:textId="77777777" w:rsidR="00373CC8" w:rsidRPr="00DD38C0" w:rsidRDefault="000B27E4" w:rsidP="00EE6BF2">
      <w:pPr>
        <w:spacing w:line="276" w:lineRule="auto"/>
        <w:rPr>
          <w:rFonts w:asciiTheme="majorHAnsi" w:hAnsiTheme="majorHAnsi"/>
          <w:b/>
          <w:color w:val="E88E0A"/>
          <w:spacing w:val="-2"/>
          <w:sz w:val="8"/>
        </w:rPr>
      </w:pPr>
    </w:p>
    <w:p w14:paraId="74BCA57F" w14:textId="77777777" w:rsidR="00775662" w:rsidRPr="007A5A6C" w:rsidRDefault="000B27E4" w:rsidP="00EE6BF2">
      <w:pPr>
        <w:spacing w:line="276" w:lineRule="auto"/>
        <w:rPr>
          <w:rFonts w:asciiTheme="majorHAnsi" w:hAnsiTheme="majorHAnsi"/>
          <w:b/>
          <w:spacing w:val="-2"/>
          <w:sz w:val="28"/>
        </w:rPr>
      </w:pPr>
      <w:r w:rsidRPr="00AF2FAA">
        <w:rPr>
          <w:rFonts w:asciiTheme="majorHAnsi" w:hAnsiTheme="majorHAnsi"/>
          <w:b/>
          <w:color w:val="3E7BB6"/>
          <w:spacing w:val="-2"/>
          <w:sz w:val="28"/>
        </w:rPr>
        <w:t>World Markets</w:t>
      </w:r>
    </w:p>
    <w:p w14:paraId="0425EFD4" w14:textId="77777777" w:rsidR="00E1190A" w:rsidRPr="00E1190A" w:rsidRDefault="000B27E4" w:rsidP="00E1190A">
      <w:pPr>
        <w:spacing w:line="276" w:lineRule="auto"/>
        <w:rPr>
          <w:rStyle w:val="st"/>
          <w:rFonts w:asciiTheme="majorHAnsi" w:hAnsiTheme="majorHAnsi"/>
          <w:sz w:val="24"/>
        </w:rPr>
      </w:pPr>
      <w:r w:rsidRPr="00E1190A">
        <w:rPr>
          <w:rStyle w:val="st"/>
          <w:rFonts w:asciiTheme="majorHAnsi" w:hAnsiTheme="majorHAnsi"/>
          <w:sz w:val="24"/>
        </w:rPr>
        <w:t xml:space="preserve">The MSCI-EAFE Index slipped 3.18 percent in </w:t>
      </w:r>
      <w:r w:rsidRPr="00E1190A">
        <w:rPr>
          <w:rStyle w:val="st"/>
          <w:rFonts w:asciiTheme="majorHAnsi" w:hAnsiTheme="majorHAnsi"/>
          <w:sz w:val="24"/>
        </w:rPr>
        <w:t>September, fighting the headwinds of a tightening monetary policy in Europe, multiple economic challenges in China, and political uncertainty in Germany and Japan.</w:t>
      </w:r>
      <w:r w:rsidRPr="00E1190A">
        <w:rPr>
          <w:rStyle w:val="st"/>
          <w:rFonts w:asciiTheme="majorHAnsi" w:hAnsiTheme="majorHAnsi"/>
          <w:sz w:val="24"/>
          <w:vertAlign w:val="superscript"/>
        </w:rPr>
        <w:t>7</w:t>
      </w:r>
    </w:p>
    <w:p w14:paraId="3E6E40B4" w14:textId="77777777" w:rsidR="00E1190A" w:rsidRPr="00E1190A" w:rsidRDefault="000B27E4" w:rsidP="00E1190A">
      <w:pPr>
        <w:spacing w:line="276" w:lineRule="auto"/>
        <w:rPr>
          <w:rStyle w:val="st"/>
          <w:rFonts w:asciiTheme="majorHAnsi" w:hAnsiTheme="majorHAnsi"/>
          <w:sz w:val="24"/>
        </w:rPr>
      </w:pPr>
      <w:r w:rsidRPr="00E1190A">
        <w:rPr>
          <w:rStyle w:val="st"/>
          <w:rFonts w:asciiTheme="majorHAnsi" w:hAnsiTheme="majorHAnsi"/>
          <w:sz w:val="24"/>
        </w:rPr>
        <w:t>European stocks were mostly lower, with losses in Germany (3.62 percent), France (-2.40 per</w:t>
      </w:r>
      <w:r w:rsidRPr="00E1190A">
        <w:rPr>
          <w:rStyle w:val="st"/>
          <w:rFonts w:asciiTheme="majorHAnsi" w:hAnsiTheme="majorHAnsi"/>
          <w:sz w:val="24"/>
        </w:rPr>
        <w:t>cent), and the U.K. (-0.47 percent).</w:t>
      </w:r>
      <w:r w:rsidRPr="00E1190A">
        <w:rPr>
          <w:rStyle w:val="st"/>
          <w:rFonts w:asciiTheme="majorHAnsi" w:hAnsiTheme="majorHAnsi"/>
          <w:sz w:val="24"/>
          <w:vertAlign w:val="superscript"/>
        </w:rPr>
        <w:t>8</w:t>
      </w:r>
    </w:p>
    <w:p w14:paraId="26B50512" w14:textId="77777777" w:rsidR="00AF2FAA" w:rsidRDefault="000B27E4" w:rsidP="00E1190A">
      <w:pPr>
        <w:spacing w:line="276" w:lineRule="auto"/>
        <w:rPr>
          <w:rStyle w:val="st"/>
          <w:rFonts w:asciiTheme="majorHAnsi" w:hAnsiTheme="majorHAnsi"/>
          <w:sz w:val="24"/>
        </w:rPr>
      </w:pPr>
      <w:r w:rsidRPr="00E1190A">
        <w:rPr>
          <w:rStyle w:val="st"/>
          <w:rFonts w:asciiTheme="majorHAnsi" w:hAnsiTheme="majorHAnsi"/>
          <w:sz w:val="24"/>
        </w:rPr>
        <w:t>Pacific Rim market performance was mixed, with China’s Hang Seng index down 5.04 percent and Australian ASX 200 off 2.69 percent. Japan bucked the trend, picking up 4.85 percent.</w:t>
      </w:r>
      <w:r w:rsidRPr="00E1190A">
        <w:rPr>
          <w:rStyle w:val="st"/>
          <w:rFonts w:asciiTheme="majorHAnsi" w:hAnsiTheme="majorHAnsi"/>
          <w:sz w:val="24"/>
          <w:vertAlign w:val="superscript"/>
        </w:rPr>
        <w:t>9</w:t>
      </w:r>
    </w:p>
    <w:p w14:paraId="0990488D" w14:textId="77777777" w:rsidR="00AF2FAA" w:rsidRPr="007A5A6C" w:rsidRDefault="000B27E4" w:rsidP="00AF2FAA">
      <w:pPr>
        <w:spacing w:line="276" w:lineRule="auto"/>
        <w:rPr>
          <w:rFonts w:asciiTheme="majorHAnsi" w:hAnsiTheme="majorHAnsi"/>
          <w:b/>
          <w:spacing w:val="-2"/>
          <w:sz w:val="28"/>
        </w:rPr>
      </w:pPr>
      <w:r w:rsidRPr="00AF2FAA">
        <w:rPr>
          <w:rFonts w:asciiTheme="majorHAnsi" w:hAnsiTheme="majorHAnsi"/>
          <w:b/>
          <w:color w:val="3E7BB6"/>
          <w:spacing w:val="-2"/>
          <w:sz w:val="28"/>
        </w:rPr>
        <w:t>Indicators</w:t>
      </w:r>
    </w:p>
    <w:p w14:paraId="7F3C07DC" w14:textId="77777777" w:rsidR="001E7125" w:rsidRPr="001E7125" w:rsidRDefault="000B27E4" w:rsidP="001E7125">
      <w:pPr>
        <w:spacing w:line="276" w:lineRule="auto"/>
        <w:rPr>
          <w:rStyle w:val="st"/>
          <w:rFonts w:asciiTheme="majorHAnsi" w:hAnsiTheme="majorHAnsi"/>
          <w:sz w:val="24"/>
        </w:rPr>
      </w:pPr>
      <w:r w:rsidRPr="001E7125">
        <w:rPr>
          <w:rStyle w:val="st"/>
          <w:rFonts w:asciiTheme="majorHAnsi" w:hAnsiTheme="majorHAnsi"/>
          <w:b/>
          <w:bCs/>
          <w:sz w:val="24"/>
        </w:rPr>
        <w:t>Gross Domestic Product:</w:t>
      </w:r>
      <w:r w:rsidRPr="001E7125">
        <w:rPr>
          <w:rStyle w:val="st"/>
          <w:rFonts w:asciiTheme="majorHAnsi" w:hAnsiTheme="majorHAnsi"/>
          <w:sz w:val="24"/>
        </w:rPr>
        <w:t xml:space="preserve"> </w:t>
      </w:r>
      <w:r w:rsidRPr="00E1190A">
        <w:rPr>
          <w:rStyle w:val="st"/>
          <w:rFonts w:asciiTheme="majorHAnsi" w:hAnsiTheme="majorHAnsi"/>
          <w:sz w:val="24"/>
        </w:rPr>
        <w:t>The final read on second-quarter GDP growth was revised slightly higher, from 6.6 percent to 6.7 percent</w:t>
      </w:r>
      <w:r w:rsidRPr="001E7125">
        <w:rPr>
          <w:rStyle w:val="st"/>
          <w:rFonts w:asciiTheme="majorHAnsi" w:hAnsiTheme="majorHAnsi"/>
          <w:sz w:val="24"/>
        </w:rPr>
        <w:t>.</w:t>
      </w:r>
      <w:r>
        <w:rPr>
          <w:rStyle w:val="st"/>
          <w:rFonts w:asciiTheme="majorHAnsi" w:hAnsiTheme="majorHAnsi"/>
          <w:sz w:val="24"/>
          <w:vertAlign w:val="superscript"/>
        </w:rPr>
        <w:t>10</w:t>
      </w:r>
    </w:p>
    <w:p w14:paraId="3D067D6E" w14:textId="77777777" w:rsidR="001E7125" w:rsidRPr="001E7125" w:rsidRDefault="000B27E4" w:rsidP="001E7125">
      <w:pPr>
        <w:spacing w:line="276" w:lineRule="auto"/>
        <w:rPr>
          <w:rStyle w:val="st"/>
          <w:rFonts w:asciiTheme="majorHAnsi" w:hAnsiTheme="majorHAnsi"/>
          <w:sz w:val="24"/>
        </w:rPr>
      </w:pPr>
      <w:r w:rsidRPr="001E7125">
        <w:rPr>
          <w:rStyle w:val="st"/>
          <w:rFonts w:asciiTheme="majorHAnsi" w:hAnsiTheme="majorHAnsi"/>
          <w:b/>
          <w:bCs/>
          <w:sz w:val="24"/>
        </w:rPr>
        <w:t>Employment:</w:t>
      </w:r>
      <w:r w:rsidRPr="001E7125">
        <w:rPr>
          <w:rStyle w:val="st"/>
          <w:rFonts w:asciiTheme="majorHAnsi" w:hAnsiTheme="majorHAnsi"/>
          <w:sz w:val="24"/>
        </w:rPr>
        <w:t xml:space="preserve"> </w:t>
      </w:r>
      <w:r w:rsidRPr="00E1190A">
        <w:rPr>
          <w:rStyle w:val="st"/>
          <w:rFonts w:asciiTheme="majorHAnsi" w:hAnsiTheme="majorHAnsi"/>
          <w:sz w:val="24"/>
        </w:rPr>
        <w:t>Employers added 235,000 new jobs in August, below the consensus expectation of 720,000. The unemployment rate dipped to 5.2 percent, whi</w:t>
      </w:r>
      <w:r w:rsidRPr="00E1190A">
        <w:rPr>
          <w:rStyle w:val="st"/>
          <w:rFonts w:asciiTheme="majorHAnsi" w:hAnsiTheme="majorHAnsi"/>
          <w:sz w:val="24"/>
        </w:rPr>
        <w:t>le wages increased 4.3 percent year-over-year</w:t>
      </w:r>
      <w:r w:rsidRPr="001E7125">
        <w:rPr>
          <w:rStyle w:val="st"/>
          <w:rFonts w:asciiTheme="majorHAnsi" w:hAnsiTheme="majorHAnsi"/>
          <w:sz w:val="24"/>
        </w:rPr>
        <w:t>.</w:t>
      </w:r>
      <w:r>
        <w:rPr>
          <w:rStyle w:val="st"/>
          <w:rFonts w:asciiTheme="majorHAnsi" w:hAnsiTheme="majorHAnsi"/>
          <w:sz w:val="24"/>
          <w:vertAlign w:val="superscript"/>
        </w:rPr>
        <w:t>11</w:t>
      </w:r>
    </w:p>
    <w:p w14:paraId="3D06BE33" w14:textId="77777777" w:rsidR="001E7125" w:rsidRPr="001E7125" w:rsidRDefault="000B27E4" w:rsidP="001E7125">
      <w:pPr>
        <w:spacing w:line="276" w:lineRule="auto"/>
        <w:rPr>
          <w:rStyle w:val="st"/>
          <w:rFonts w:asciiTheme="majorHAnsi" w:hAnsiTheme="majorHAnsi"/>
          <w:sz w:val="24"/>
        </w:rPr>
      </w:pPr>
      <w:r w:rsidRPr="001E7125">
        <w:rPr>
          <w:rStyle w:val="st"/>
          <w:rFonts w:asciiTheme="majorHAnsi" w:hAnsiTheme="majorHAnsi"/>
          <w:b/>
          <w:bCs/>
          <w:sz w:val="24"/>
        </w:rPr>
        <w:t>Retail Sales:</w:t>
      </w:r>
      <w:r w:rsidRPr="001E7125">
        <w:rPr>
          <w:rStyle w:val="st"/>
          <w:rFonts w:asciiTheme="majorHAnsi" w:hAnsiTheme="majorHAnsi"/>
          <w:sz w:val="24"/>
        </w:rPr>
        <w:t xml:space="preserve"> </w:t>
      </w:r>
      <w:r w:rsidRPr="00AE4593">
        <w:rPr>
          <w:rStyle w:val="st"/>
          <w:rFonts w:asciiTheme="majorHAnsi" w:hAnsiTheme="majorHAnsi"/>
          <w:sz w:val="24"/>
        </w:rPr>
        <w:t>Retail sales posted a 0.7 percent gain, surprising economists who had expected a decline due to the Delta variant. Excluding autos, which fell 3.6 percent for the month primarily due to chip sh</w:t>
      </w:r>
      <w:r w:rsidRPr="00AE4593">
        <w:rPr>
          <w:rStyle w:val="st"/>
          <w:rFonts w:asciiTheme="majorHAnsi" w:hAnsiTheme="majorHAnsi"/>
          <w:sz w:val="24"/>
        </w:rPr>
        <w:t>ortages, retail sales rose 1.8 percent</w:t>
      </w:r>
      <w:r w:rsidRPr="001E7125">
        <w:rPr>
          <w:rStyle w:val="st"/>
          <w:rFonts w:asciiTheme="majorHAnsi" w:hAnsiTheme="majorHAnsi"/>
          <w:sz w:val="24"/>
        </w:rPr>
        <w:t>.</w:t>
      </w:r>
      <w:r>
        <w:rPr>
          <w:rStyle w:val="st"/>
          <w:rFonts w:asciiTheme="majorHAnsi" w:hAnsiTheme="majorHAnsi"/>
          <w:sz w:val="24"/>
          <w:vertAlign w:val="superscript"/>
        </w:rPr>
        <w:t>12</w:t>
      </w:r>
    </w:p>
    <w:p w14:paraId="46BB912E" w14:textId="77777777" w:rsidR="001E7125" w:rsidRPr="001E7125" w:rsidRDefault="000B27E4" w:rsidP="001E7125">
      <w:pPr>
        <w:spacing w:line="276" w:lineRule="auto"/>
        <w:rPr>
          <w:rStyle w:val="st"/>
          <w:rFonts w:asciiTheme="majorHAnsi" w:hAnsiTheme="majorHAnsi"/>
          <w:sz w:val="24"/>
        </w:rPr>
      </w:pPr>
      <w:r w:rsidRPr="001E7125">
        <w:rPr>
          <w:rStyle w:val="st"/>
          <w:rFonts w:asciiTheme="majorHAnsi" w:hAnsiTheme="majorHAnsi"/>
          <w:b/>
          <w:bCs/>
          <w:sz w:val="24"/>
        </w:rPr>
        <w:t>Industrial Production:</w:t>
      </w:r>
      <w:r w:rsidRPr="001E7125">
        <w:rPr>
          <w:rStyle w:val="st"/>
          <w:rFonts w:asciiTheme="majorHAnsi" w:hAnsiTheme="majorHAnsi"/>
          <w:sz w:val="24"/>
        </w:rPr>
        <w:t xml:space="preserve"> </w:t>
      </w:r>
      <w:r w:rsidRPr="00AE4593">
        <w:rPr>
          <w:rStyle w:val="st"/>
          <w:rFonts w:asciiTheme="majorHAnsi" w:hAnsiTheme="majorHAnsi"/>
          <w:sz w:val="24"/>
        </w:rPr>
        <w:t>Industrial output tacked on 0.4 percent, an increase that brought industrial production to pre-pandemic levels</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3</w:t>
      </w:r>
    </w:p>
    <w:p w14:paraId="24BD65B5" w14:textId="77777777" w:rsidR="00AE4593" w:rsidRPr="00AE4593" w:rsidRDefault="000B27E4" w:rsidP="00AE4593">
      <w:pPr>
        <w:spacing w:line="276" w:lineRule="auto"/>
        <w:rPr>
          <w:rStyle w:val="st"/>
          <w:rFonts w:asciiTheme="majorHAnsi" w:hAnsiTheme="majorHAnsi"/>
          <w:sz w:val="24"/>
        </w:rPr>
      </w:pPr>
      <w:r w:rsidRPr="001E7125">
        <w:rPr>
          <w:rStyle w:val="st"/>
          <w:rFonts w:asciiTheme="majorHAnsi" w:hAnsiTheme="majorHAnsi"/>
          <w:b/>
          <w:bCs/>
          <w:sz w:val="24"/>
        </w:rPr>
        <w:t>Housing:</w:t>
      </w:r>
      <w:r w:rsidRPr="001E7125">
        <w:rPr>
          <w:rStyle w:val="st"/>
          <w:rFonts w:asciiTheme="majorHAnsi" w:hAnsiTheme="majorHAnsi"/>
          <w:sz w:val="24"/>
        </w:rPr>
        <w:t xml:space="preserve"> </w:t>
      </w:r>
      <w:r w:rsidRPr="00AE4593">
        <w:rPr>
          <w:rStyle w:val="st"/>
          <w:rFonts w:asciiTheme="majorHAnsi" w:hAnsiTheme="majorHAnsi"/>
          <w:sz w:val="24"/>
        </w:rPr>
        <w:t>Housing starts increased by 3.9 percent, outpacing the consensus est</w:t>
      </w:r>
      <w:r w:rsidRPr="00AE4593">
        <w:rPr>
          <w:rStyle w:val="st"/>
          <w:rFonts w:asciiTheme="majorHAnsi" w:hAnsiTheme="majorHAnsi"/>
          <w:sz w:val="24"/>
        </w:rPr>
        <w:t>imate of 1.6 percent.</w:t>
      </w:r>
      <w:r w:rsidRPr="00AE4593">
        <w:rPr>
          <w:rStyle w:val="st"/>
          <w:rFonts w:asciiTheme="majorHAnsi" w:hAnsiTheme="majorHAnsi"/>
          <w:sz w:val="24"/>
          <w:vertAlign w:val="superscript"/>
        </w:rPr>
        <w:t>14</w:t>
      </w:r>
      <w:r w:rsidRPr="00AE4593">
        <w:rPr>
          <w:rStyle w:val="st"/>
          <w:rFonts w:asciiTheme="majorHAnsi" w:hAnsiTheme="majorHAnsi"/>
          <w:sz w:val="24"/>
        </w:rPr>
        <w:t xml:space="preserve"> </w:t>
      </w:r>
    </w:p>
    <w:p w14:paraId="10F39BFC" w14:textId="77777777" w:rsidR="00AE4593" w:rsidRPr="00AE4593" w:rsidRDefault="000B27E4" w:rsidP="00AE4593">
      <w:pPr>
        <w:spacing w:line="276" w:lineRule="auto"/>
        <w:rPr>
          <w:rStyle w:val="st"/>
          <w:rFonts w:asciiTheme="majorHAnsi" w:hAnsiTheme="majorHAnsi"/>
          <w:sz w:val="24"/>
        </w:rPr>
      </w:pPr>
      <w:r w:rsidRPr="00AE4593">
        <w:rPr>
          <w:rStyle w:val="st"/>
          <w:rFonts w:asciiTheme="majorHAnsi" w:hAnsiTheme="majorHAnsi"/>
          <w:sz w:val="24"/>
        </w:rPr>
        <w:lastRenderedPageBreak/>
        <w:t>Existing home sales declined by 2.0 percent amid rising median prices (+14.9 percent year-over-year) and falling inventory (lower by 1.5 percent).</w:t>
      </w:r>
      <w:r w:rsidRPr="00AE4593">
        <w:rPr>
          <w:rStyle w:val="st"/>
          <w:rFonts w:asciiTheme="majorHAnsi" w:hAnsiTheme="majorHAnsi"/>
          <w:sz w:val="24"/>
          <w:vertAlign w:val="superscript"/>
        </w:rPr>
        <w:t>15</w:t>
      </w:r>
      <w:r w:rsidRPr="00AE4593">
        <w:rPr>
          <w:rStyle w:val="st"/>
          <w:rFonts w:asciiTheme="majorHAnsi" w:hAnsiTheme="majorHAnsi"/>
          <w:sz w:val="24"/>
        </w:rPr>
        <w:t xml:space="preserve"> </w:t>
      </w:r>
    </w:p>
    <w:p w14:paraId="6CB3D41B" w14:textId="77777777" w:rsidR="001E7125" w:rsidRPr="001E7125" w:rsidRDefault="000B27E4" w:rsidP="00AE4593">
      <w:pPr>
        <w:spacing w:line="276" w:lineRule="auto"/>
        <w:rPr>
          <w:rStyle w:val="st"/>
          <w:rFonts w:asciiTheme="majorHAnsi" w:hAnsiTheme="majorHAnsi"/>
          <w:sz w:val="24"/>
        </w:rPr>
      </w:pPr>
      <w:r w:rsidRPr="00AE4593">
        <w:rPr>
          <w:rStyle w:val="st"/>
          <w:rFonts w:asciiTheme="majorHAnsi" w:hAnsiTheme="majorHAnsi"/>
          <w:sz w:val="24"/>
        </w:rPr>
        <w:t>New home sales rose 1.5 percent, as their median sales price reached $390,900, up</w:t>
      </w:r>
      <w:r w:rsidRPr="00AE4593">
        <w:rPr>
          <w:rStyle w:val="st"/>
          <w:rFonts w:asciiTheme="majorHAnsi" w:hAnsiTheme="majorHAnsi"/>
          <w:sz w:val="24"/>
        </w:rPr>
        <w:t xml:space="preserve"> from $325,500 just one year ago</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6</w:t>
      </w:r>
    </w:p>
    <w:p w14:paraId="49DD0D8A" w14:textId="77777777" w:rsidR="001E7125" w:rsidRPr="001E7125" w:rsidRDefault="000B27E4" w:rsidP="001E7125">
      <w:pPr>
        <w:spacing w:line="276" w:lineRule="auto"/>
        <w:rPr>
          <w:rStyle w:val="st"/>
          <w:rFonts w:asciiTheme="majorHAnsi" w:hAnsiTheme="majorHAnsi"/>
          <w:sz w:val="24"/>
        </w:rPr>
      </w:pPr>
      <w:r w:rsidRPr="001E7125">
        <w:rPr>
          <w:rStyle w:val="st"/>
          <w:rFonts w:asciiTheme="majorHAnsi" w:hAnsiTheme="majorHAnsi"/>
          <w:b/>
          <w:bCs/>
          <w:sz w:val="24"/>
        </w:rPr>
        <w:t>Consumer Price Index:</w:t>
      </w:r>
      <w:r w:rsidRPr="001E7125">
        <w:rPr>
          <w:rStyle w:val="st"/>
          <w:rFonts w:asciiTheme="majorHAnsi" w:hAnsiTheme="majorHAnsi"/>
          <w:sz w:val="24"/>
        </w:rPr>
        <w:t xml:space="preserve"> </w:t>
      </w:r>
      <w:r w:rsidRPr="00AE4593">
        <w:rPr>
          <w:rStyle w:val="st"/>
          <w:rFonts w:asciiTheme="majorHAnsi" w:hAnsiTheme="majorHAnsi"/>
          <w:sz w:val="24"/>
        </w:rPr>
        <w:t>The rise in the cost of consumer goods and services moderated in August, rising 0.3 percent—below the increases seen in July (+0.5 percent) and June (+0.9 percent). Year-over-year, inflation rose 5.</w:t>
      </w:r>
      <w:r w:rsidRPr="00AE4593">
        <w:rPr>
          <w:rStyle w:val="st"/>
          <w:rFonts w:asciiTheme="majorHAnsi" w:hAnsiTheme="majorHAnsi"/>
          <w:sz w:val="24"/>
        </w:rPr>
        <w:t>3 percent</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7</w:t>
      </w:r>
    </w:p>
    <w:p w14:paraId="405D392E" w14:textId="77777777" w:rsidR="001E7125" w:rsidRDefault="000B27E4" w:rsidP="001E7125">
      <w:pPr>
        <w:spacing w:line="276" w:lineRule="auto"/>
        <w:rPr>
          <w:rStyle w:val="st"/>
          <w:rFonts w:asciiTheme="majorHAnsi" w:hAnsiTheme="majorHAnsi"/>
          <w:sz w:val="24"/>
          <w:vertAlign w:val="superscript"/>
        </w:rPr>
      </w:pPr>
      <w:r w:rsidRPr="001E7125">
        <w:rPr>
          <w:rStyle w:val="st"/>
          <w:rFonts w:asciiTheme="majorHAnsi" w:hAnsiTheme="majorHAnsi"/>
          <w:b/>
          <w:bCs/>
          <w:sz w:val="24"/>
        </w:rPr>
        <w:t>Durable Goods Orders:</w:t>
      </w:r>
      <w:r w:rsidRPr="001E7125">
        <w:rPr>
          <w:rStyle w:val="st"/>
          <w:rFonts w:asciiTheme="majorHAnsi" w:hAnsiTheme="majorHAnsi"/>
          <w:sz w:val="24"/>
        </w:rPr>
        <w:t xml:space="preserve">  </w:t>
      </w:r>
      <w:r w:rsidRPr="00AE4593">
        <w:rPr>
          <w:rStyle w:val="st"/>
          <w:rFonts w:asciiTheme="majorHAnsi" w:hAnsiTheme="majorHAnsi"/>
          <w:sz w:val="24"/>
        </w:rPr>
        <w:t>Orders for goods designed to last three years or more climbed 1.8 percent in August, the biggest increase since May</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8</w:t>
      </w:r>
    </w:p>
    <w:p w14:paraId="53676F94" w14:textId="77777777" w:rsidR="00B60BB5" w:rsidRDefault="000B27E4"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08D3DCC" wp14:editId="55889745">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23060C0" w14:textId="77777777" w:rsidR="00B60BB5" w:rsidRPr="00DD38C0" w:rsidRDefault="000B27E4" w:rsidP="00B60BB5">
      <w:pPr>
        <w:spacing w:line="276" w:lineRule="auto"/>
        <w:jc w:val="center"/>
        <w:rPr>
          <w:rStyle w:val="st"/>
          <w:rFonts w:asciiTheme="majorHAnsi" w:hAnsiTheme="majorHAnsi"/>
          <w:color w:val="E88E0A"/>
          <w:sz w:val="4"/>
        </w:rPr>
      </w:pPr>
    </w:p>
    <w:p w14:paraId="54FC7360" w14:textId="77777777" w:rsidR="00B60BB5" w:rsidRPr="00CE13AE" w:rsidRDefault="000B27E4" w:rsidP="00B60BB5">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73E30A9B" w14:textId="77777777" w:rsidR="00B60BB5" w:rsidRPr="00DD38C0" w:rsidRDefault="000B27E4" w:rsidP="00B60BB5">
      <w:pPr>
        <w:spacing w:line="276" w:lineRule="auto"/>
        <w:jc w:val="center"/>
        <w:rPr>
          <w:rStyle w:val="st"/>
          <w:rFonts w:asciiTheme="majorHAnsi" w:hAnsiTheme="majorHAnsi"/>
          <w:sz w:val="4"/>
        </w:rPr>
      </w:pPr>
    </w:p>
    <w:p w14:paraId="681AC941" w14:textId="77777777" w:rsidR="00B60BB5" w:rsidRDefault="000B27E4" w:rsidP="00B60BB5">
      <w:pPr>
        <w:spacing w:line="276" w:lineRule="auto"/>
        <w:jc w:val="center"/>
        <w:rPr>
          <w:rStyle w:val="st"/>
          <w:rFonts w:asciiTheme="majorHAnsi" w:hAnsiTheme="majorHAnsi"/>
        </w:rPr>
      </w:pPr>
      <w:r>
        <w:rPr>
          <w:rFonts w:asciiTheme="majorHAnsi" w:hAnsiTheme="majorHAnsi"/>
          <w:noProof/>
        </w:rPr>
        <w:drawing>
          <wp:inline distT="0" distB="0" distL="0" distR="0" wp14:anchorId="74201BF0" wp14:editId="0EDCB948">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66A7A0A5" w14:textId="77777777" w:rsidR="00B60BB5" w:rsidRPr="00F5056A" w:rsidRDefault="000B27E4" w:rsidP="00B60BB5">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C90421">
        <w:rPr>
          <w:rStyle w:val="st"/>
          <w:rFonts w:asciiTheme="majorHAnsi" w:hAnsiTheme="majorHAnsi"/>
          <w:i/>
          <w:sz w:val="36"/>
        </w:rPr>
        <w:t xml:space="preserve">The best preparation for tomorrow is doing your best </w:t>
      </w:r>
      <w:r w:rsidRPr="00C90421">
        <w:rPr>
          <w:rStyle w:val="st"/>
          <w:rFonts w:asciiTheme="majorHAnsi" w:hAnsiTheme="majorHAnsi"/>
          <w:i/>
          <w:sz w:val="36"/>
        </w:rPr>
        <w:t>today</w:t>
      </w:r>
      <w:r w:rsidRPr="00F5056A">
        <w:rPr>
          <w:rStyle w:val="st"/>
          <w:rFonts w:asciiTheme="majorHAnsi" w:hAnsiTheme="majorHAnsi"/>
          <w:b/>
          <w:i/>
          <w:sz w:val="36"/>
        </w:rPr>
        <w:t>.</w:t>
      </w:r>
      <w:r w:rsidRPr="00F5056A">
        <w:rPr>
          <w:rStyle w:val="st"/>
          <w:rFonts w:asciiTheme="majorHAnsi" w:hAnsiTheme="majorHAnsi"/>
          <w:i/>
          <w:sz w:val="36"/>
        </w:rPr>
        <w:t>”</w:t>
      </w:r>
    </w:p>
    <w:p w14:paraId="47CAD892" w14:textId="77777777" w:rsidR="00B60BB5" w:rsidRPr="00825DF7" w:rsidRDefault="000B27E4" w:rsidP="00B60BB5">
      <w:pPr>
        <w:spacing w:line="276" w:lineRule="auto"/>
        <w:jc w:val="center"/>
        <w:rPr>
          <w:rStyle w:val="st"/>
          <w:rFonts w:asciiTheme="majorHAnsi" w:hAnsiTheme="majorHAnsi"/>
          <w:caps/>
          <w:color w:val="3E7BB6"/>
          <w:sz w:val="24"/>
        </w:rPr>
      </w:pPr>
      <w:r>
        <w:rPr>
          <w:rStyle w:val="st"/>
          <w:rFonts w:asciiTheme="majorHAnsi" w:hAnsiTheme="majorHAnsi"/>
          <w:i/>
          <w:caps/>
          <w:color w:val="3E7BB6"/>
        </w:rPr>
        <w:t>H. JACKSON BROWN JR.</w:t>
      </w:r>
    </w:p>
    <w:p w14:paraId="4BE331D4" w14:textId="77777777" w:rsidR="00B60BB5" w:rsidRPr="00DD38C0" w:rsidRDefault="000B27E4" w:rsidP="00B60BB5">
      <w:pPr>
        <w:spacing w:line="276" w:lineRule="auto"/>
        <w:jc w:val="center"/>
        <w:rPr>
          <w:rStyle w:val="st"/>
          <w:rFonts w:asciiTheme="majorHAnsi" w:hAnsiTheme="majorHAnsi"/>
          <w:i/>
          <w:color w:val="E88E0A"/>
          <w:sz w:val="4"/>
        </w:rPr>
      </w:pPr>
    </w:p>
    <w:p w14:paraId="65FB7538" w14:textId="77777777" w:rsidR="00B60BB5" w:rsidRDefault="000B27E4"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4BCB2A2" wp14:editId="161DC287">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ACCD210" w14:textId="77777777" w:rsidR="00B60BB5" w:rsidRDefault="000B27E4" w:rsidP="001E7125">
      <w:pPr>
        <w:spacing w:line="276" w:lineRule="auto"/>
        <w:rPr>
          <w:rStyle w:val="st"/>
          <w:rFonts w:asciiTheme="majorHAnsi" w:hAnsiTheme="majorHAnsi"/>
          <w:sz w:val="24"/>
        </w:rPr>
      </w:pPr>
    </w:p>
    <w:p w14:paraId="1EA39F29" w14:textId="77777777" w:rsidR="001E7125" w:rsidRPr="007A5A6C" w:rsidRDefault="000B27E4" w:rsidP="001E7125">
      <w:pPr>
        <w:spacing w:line="276" w:lineRule="auto"/>
        <w:rPr>
          <w:rFonts w:asciiTheme="majorHAnsi" w:hAnsiTheme="majorHAnsi"/>
          <w:b/>
          <w:spacing w:val="-2"/>
          <w:sz w:val="28"/>
        </w:rPr>
      </w:pPr>
      <w:r w:rsidRPr="001E7125">
        <w:rPr>
          <w:rFonts w:asciiTheme="majorHAnsi" w:hAnsiTheme="majorHAnsi"/>
          <w:b/>
          <w:color w:val="3E7BB6"/>
          <w:spacing w:val="-2"/>
          <w:sz w:val="28"/>
        </w:rPr>
        <w:t>The Fed</w:t>
      </w:r>
    </w:p>
    <w:p w14:paraId="061D9861" w14:textId="77777777" w:rsidR="00AE4593" w:rsidRPr="00AE4593" w:rsidRDefault="000B27E4" w:rsidP="00AE4593">
      <w:pPr>
        <w:spacing w:line="276" w:lineRule="auto"/>
        <w:rPr>
          <w:rStyle w:val="st"/>
          <w:rFonts w:asciiTheme="majorHAnsi" w:hAnsiTheme="majorHAnsi"/>
          <w:sz w:val="24"/>
        </w:rPr>
      </w:pPr>
      <w:r w:rsidRPr="00AE4593">
        <w:rPr>
          <w:rStyle w:val="st"/>
          <w:rFonts w:asciiTheme="majorHAnsi" w:hAnsiTheme="majorHAnsi"/>
          <w:sz w:val="24"/>
        </w:rPr>
        <w:t>At the conclusion of its two-day meeting on September 22, the Federal Open Market Committee indicated that the Fed was ready to begin tapering its monthly bond purchase program, likely starting in November 2021. Fed</w:t>
      </w:r>
      <w:r w:rsidRPr="00AE4593">
        <w:rPr>
          <w:rStyle w:val="st"/>
          <w:rFonts w:asciiTheme="majorHAnsi" w:hAnsiTheme="majorHAnsi"/>
          <w:sz w:val="24"/>
        </w:rPr>
        <w:t xml:space="preserve"> Chair Powell thought that the tapering would conclude around mid-next year.</w:t>
      </w:r>
    </w:p>
    <w:p w14:paraId="386B625B" w14:textId="77777777" w:rsidR="00775662" w:rsidRPr="00EF31D3" w:rsidRDefault="000B27E4" w:rsidP="00AE4593">
      <w:pPr>
        <w:spacing w:line="276" w:lineRule="auto"/>
        <w:rPr>
          <w:rStyle w:val="st"/>
          <w:rFonts w:asciiTheme="majorHAnsi" w:hAnsiTheme="majorHAnsi"/>
          <w:sz w:val="24"/>
        </w:rPr>
      </w:pPr>
      <w:r w:rsidRPr="00AE4593">
        <w:rPr>
          <w:rStyle w:val="st"/>
          <w:rFonts w:asciiTheme="majorHAnsi" w:hAnsiTheme="majorHAnsi"/>
          <w:sz w:val="24"/>
        </w:rPr>
        <w:t>Interest rates may also move higher sooner than expected, as a survey of Fed officials now shows half believe that rates will be higher by the end of 2022</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9</w:t>
      </w:r>
    </w:p>
    <w:tbl>
      <w:tblPr>
        <w:tblW w:w="4943" w:type="pct"/>
        <w:jc w:val="center"/>
        <w:tblLook w:val="04A0" w:firstRow="1" w:lastRow="0" w:firstColumn="1" w:lastColumn="0" w:noHBand="0" w:noVBand="1"/>
      </w:tblPr>
      <w:tblGrid>
        <w:gridCol w:w="3037"/>
        <w:gridCol w:w="3038"/>
        <w:gridCol w:w="3036"/>
      </w:tblGrid>
      <w:tr w:rsidR="006035A2" w14:paraId="2E761BB3" w14:textId="77777777" w:rsidTr="00B60BB5">
        <w:trPr>
          <w:trHeight w:val="402"/>
          <w:jc w:val="center"/>
        </w:trPr>
        <w:tc>
          <w:tcPr>
            <w:tcW w:w="1667" w:type="pct"/>
            <w:tcBorders>
              <w:top w:val="nil"/>
              <w:left w:val="nil"/>
              <w:bottom w:val="nil"/>
              <w:right w:val="nil"/>
            </w:tcBorders>
            <w:shd w:val="clear" w:color="auto" w:fill="auto"/>
            <w:vAlign w:val="center"/>
            <w:hideMark/>
          </w:tcPr>
          <w:p w14:paraId="0AA921D7"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sdt>
              <w:sdtPr>
                <w:tag w:val="goog_rdk_5"/>
                <w:id w:val="-1089692580"/>
                <w:showingPlcHdr/>
              </w:sdtPr>
              <w:sdtEndPr/>
              <w:sdtContent>
                <w:r>
                  <w:t xml:space="preserve">     </w:t>
                </w:r>
              </w:sdtContent>
            </w:sdt>
            <w:r>
              <w:rPr>
                <w:b/>
                <w:color w:val="3E7BB6"/>
              </w:rPr>
              <w:t xml:space="preserve">MARKET </w:t>
            </w:r>
            <w:r>
              <w:rPr>
                <w:b/>
                <w:color w:val="3E7BB6"/>
              </w:rPr>
              <w:t>INDEX</w:t>
            </w:r>
          </w:p>
        </w:tc>
        <w:tc>
          <w:tcPr>
            <w:tcW w:w="1667" w:type="pct"/>
            <w:tcBorders>
              <w:top w:val="nil"/>
              <w:left w:val="nil"/>
              <w:bottom w:val="nil"/>
              <w:right w:val="nil"/>
            </w:tcBorders>
            <w:shd w:val="clear" w:color="auto" w:fill="auto"/>
            <w:vAlign w:val="center"/>
            <w:hideMark/>
          </w:tcPr>
          <w:p w14:paraId="1583F459"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r>
              <w:rPr>
                <w:b/>
                <w:color w:val="3E7BB6"/>
              </w:rPr>
              <w:t>Y-T-D CHANGE</w:t>
            </w:r>
          </w:p>
        </w:tc>
        <w:tc>
          <w:tcPr>
            <w:tcW w:w="1666" w:type="pct"/>
            <w:tcBorders>
              <w:top w:val="nil"/>
              <w:left w:val="nil"/>
              <w:bottom w:val="nil"/>
              <w:right w:val="nil"/>
            </w:tcBorders>
            <w:shd w:val="clear" w:color="auto" w:fill="auto"/>
            <w:vAlign w:val="center"/>
            <w:hideMark/>
          </w:tcPr>
          <w:p w14:paraId="0241B980"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r>
              <w:rPr>
                <w:b/>
                <w:color w:val="3E7BB6"/>
              </w:rPr>
              <w:t>September 202</w:t>
            </w:r>
            <w:r>
              <w:rPr>
                <w:b/>
                <w:color w:val="3E7BB6"/>
              </w:rPr>
              <w:t>1</w:t>
            </w:r>
          </w:p>
        </w:tc>
      </w:tr>
      <w:tr w:rsidR="006035A2" w14:paraId="3E41A37B"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4115E5A" w14:textId="77777777" w:rsidR="00B60BB5" w:rsidRPr="006D5A63" w:rsidRDefault="000B27E4" w:rsidP="00B60BB5">
            <w:pPr>
              <w:spacing w:after="0" w:line="276" w:lineRule="auto"/>
              <w:jc w:val="center"/>
              <w:rPr>
                <w:rFonts w:ascii="Calibri Light" w:eastAsia="Times New Roman" w:hAnsi="Calibri Light" w:cs="Times New Roman"/>
                <w:color w:val="000000"/>
                <w:szCs w:val="20"/>
              </w:rPr>
            </w:pPr>
            <w:sdt>
              <w:sdtPr>
                <w:tag w:val="goog_rdk_6"/>
                <w:id w:val="127053967"/>
              </w:sdtPr>
              <w:sdtEndPr/>
              <w:sdtContent/>
            </w:sdt>
            <w:r>
              <w:rPr>
                <w:color w:val="000000"/>
              </w:rPr>
              <w:t>DJIA</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295D4F48" w14:textId="77777777" w:rsidR="00B60BB5" w:rsidRPr="00253458" w:rsidRDefault="000B27E4" w:rsidP="00B60BB5">
            <w:pPr>
              <w:spacing w:after="0" w:line="276" w:lineRule="auto"/>
              <w:jc w:val="center"/>
              <w:rPr>
                <w:rFonts w:ascii="Calibri Light" w:eastAsia="Times New Roman" w:hAnsi="Calibri Light" w:cs="Times New Roman"/>
                <w:szCs w:val="20"/>
              </w:rPr>
            </w:pPr>
            <w:r w:rsidRPr="00601CAB">
              <w:t>10.58</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7BB7338D" w14:textId="77777777" w:rsidR="00B60BB5" w:rsidRPr="00253458" w:rsidRDefault="000B27E4" w:rsidP="00B60BB5">
            <w:pPr>
              <w:spacing w:after="0" w:line="276" w:lineRule="auto"/>
              <w:jc w:val="center"/>
              <w:rPr>
                <w:rFonts w:ascii="Calibri Light" w:eastAsia="Times New Roman" w:hAnsi="Calibri Light" w:cs="Times New Roman"/>
                <w:szCs w:val="20"/>
              </w:rPr>
            </w:pPr>
            <w:r w:rsidRPr="00390FDF">
              <w:t>-4.29</w:t>
            </w:r>
            <w:r>
              <w:t>%</w:t>
            </w:r>
          </w:p>
        </w:tc>
      </w:tr>
      <w:tr w:rsidR="006035A2" w14:paraId="28A77489"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772977E0" w14:textId="77777777" w:rsidR="00B60BB5" w:rsidRPr="006D5A63" w:rsidRDefault="000B27E4" w:rsidP="00B60BB5">
            <w:pPr>
              <w:spacing w:after="0" w:line="276" w:lineRule="auto"/>
              <w:jc w:val="center"/>
              <w:rPr>
                <w:rFonts w:ascii="Calibri Light" w:eastAsia="Times New Roman" w:hAnsi="Calibri Light" w:cs="Times New Roman"/>
                <w:color w:val="000000"/>
                <w:szCs w:val="20"/>
              </w:rPr>
            </w:pPr>
            <w:sdt>
              <w:sdtPr>
                <w:tag w:val="goog_rdk_7"/>
                <w:id w:val="-1174564592"/>
              </w:sdtPr>
              <w:sdtEndPr/>
              <w:sdtContent/>
            </w:sdt>
            <w:r>
              <w:rPr>
                <w:color w:val="000000"/>
              </w:rPr>
              <w:t>NASDAQ</w:t>
            </w:r>
          </w:p>
        </w:tc>
        <w:tc>
          <w:tcPr>
            <w:tcW w:w="1667" w:type="pct"/>
            <w:tcBorders>
              <w:top w:val="nil"/>
              <w:left w:val="nil"/>
              <w:bottom w:val="single" w:sz="4" w:space="0" w:color="A5A5A5"/>
              <w:right w:val="single" w:sz="4" w:space="0" w:color="A5A5A5"/>
            </w:tcBorders>
            <w:shd w:val="clear" w:color="000000" w:fill="F2F2F2"/>
            <w:vAlign w:val="center"/>
            <w:hideMark/>
          </w:tcPr>
          <w:p w14:paraId="0CE8D68C" w14:textId="77777777" w:rsidR="00B60BB5" w:rsidRPr="00253458" w:rsidRDefault="000B27E4" w:rsidP="00B60BB5">
            <w:pPr>
              <w:spacing w:after="0" w:line="276" w:lineRule="auto"/>
              <w:jc w:val="center"/>
              <w:rPr>
                <w:rFonts w:ascii="Calibri Light" w:eastAsia="Times New Roman" w:hAnsi="Calibri Light" w:cs="Times New Roman"/>
                <w:szCs w:val="20"/>
              </w:rPr>
            </w:pPr>
            <w:r>
              <w:t>12.11%</w:t>
            </w:r>
          </w:p>
        </w:tc>
        <w:tc>
          <w:tcPr>
            <w:tcW w:w="1666" w:type="pct"/>
            <w:tcBorders>
              <w:top w:val="nil"/>
              <w:left w:val="nil"/>
              <w:bottom w:val="single" w:sz="4" w:space="0" w:color="A5A5A5"/>
              <w:right w:val="single" w:sz="4" w:space="0" w:color="A5A5A5"/>
            </w:tcBorders>
            <w:shd w:val="clear" w:color="000000" w:fill="F2F2F2"/>
            <w:vAlign w:val="center"/>
            <w:hideMark/>
          </w:tcPr>
          <w:p w14:paraId="5B7B6A3C" w14:textId="77777777" w:rsidR="00B60BB5" w:rsidRPr="00253458" w:rsidRDefault="000B27E4" w:rsidP="00B60BB5">
            <w:pPr>
              <w:spacing w:after="0" w:line="276" w:lineRule="auto"/>
              <w:jc w:val="center"/>
              <w:rPr>
                <w:rFonts w:ascii="Calibri Light" w:eastAsia="Times New Roman" w:hAnsi="Calibri Light" w:cs="Times New Roman"/>
                <w:szCs w:val="20"/>
              </w:rPr>
            </w:pPr>
            <w:r>
              <w:t>-5.31%</w:t>
            </w:r>
          </w:p>
        </w:tc>
      </w:tr>
      <w:tr w:rsidR="006035A2" w14:paraId="3F73173F"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3B2E8576" w14:textId="77777777" w:rsidR="00B60BB5" w:rsidRPr="006D5A63" w:rsidRDefault="000B27E4" w:rsidP="00B60BB5">
            <w:pPr>
              <w:spacing w:after="0" w:line="276" w:lineRule="auto"/>
              <w:jc w:val="center"/>
              <w:rPr>
                <w:rFonts w:ascii="Calibri Light" w:eastAsia="Times New Roman" w:hAnsi="Calibri Light" w:cs="Times New Roman"/>
                <w:color w:val="000000"/>
                <w:szCs w:val="20"/>
              </w:rPr>
            </w:pPr>
            <w:sdt>
              <w:sdtPr>
                <w:tag w:val="goog_rdk_8"/>
                <w:id w:val="-2058466190"/>
              </w:sdtPr>
              <w:sdtEndPr/>
              <w:sdtContent/>
            </w:sdt>
            <w:r>
              <w:rPr>
                <w:color w:val="000000"/>
              </w:rPr>
              <w:t>S&amp;P 500</w:t>
            </w:r>
          </w:p>
        </w:tc>
        <w:tc>
          <w:tcPr>
            <w:tcW w:w="1667" w:type="pct"/>
            <w:tcBorders>
              <w:top w:val="nil"/>
              <w:left w:val="nil"/>
              <w:bottom w:val="single" w:sz="4" w:space="0" w:color="A5A5A5"/>
              <w:right w:val="single" w:sz="4" w:space="0" w:color="A5A5A5"/>
            </w:tcBorders>
            <w:shd w:val="clear" w:color="000000" w:fill="F2F2F2"/>
            <w:vAlign w:val="center"/>
            <w:hideMark/>
          </w:tcPr>
          <w:p w14:paraId="02C2C39B" w14:textId="77777777" w:rsidR="00B60BB5" w:rsidRPr="00253458" w:rsidRDefault="000B27E4" w:rsidP="00B60BB5">
            <w:pPr>
              <w:spacing w:after="0" w:line="276" w:lineRule="auto"/>
              <w:jc w:val="center"/>
              <w:rPr>
                <w:rFonts w:ascii="Calibri Light" w:eastAsia="Times New Roman" w:hAnsi="Calibri Light" w:cs="Times New Roman"/>
                <w:szCs w:val="20"/>
              </w:rPr>
            </w:pPr>
            <w:r>
              <w:t>14.68%</w:t>
            </w:r>
          </w:p>
        </w:tc>
        <w:tc>
          <w:tcPr>
            <w:tcW w:w="1666" w:type="pct"/>
            <w:tcBorders>
              <w:top w:val="nil"/>
              <w:left w:val="nil"/>
              <w:bottom w:val="single" w:sz="4" w:space="0" w:color="A5A5A5"/>
              <w:right w:val="single" w:sz="4" w:space="0" w:color="A5A5A5"/>
            </w:tcBorders>
            <w:shd w:val="clear" w:color="000000" w:fill="F2F2F2"/>
            <w:vAlign w:val="center"/>
            <w:hideMark/>
          </w:tcPr>
          <w:p w14:paraId="04D6CC95" w14:textId="77777777" w:rsidR="00B60BB5" w:rsidRPr="00253458" w:rsidRDefault="000B27E4" w:rsidP="00B60BB5">
            <w:pPr>
              <w:spacing w:after="0" w:line="276" w:lineRule="auto"/>
              <w:jc w:val="center"/>
              <w:rPr>
                <w:rFonts w:ascii="Calibri Light" w:eastAsia="Times New Roman" w:hAnsi="Calibri Light" w:cs="Times New Roman"/>
                <w:szCs w:val="20"/>
              </w:rPr>
            </w:pPr>
            <w:r>
              <w:t>-4.76%</w:t>
            </w:r>
          </w:p>
        </w:tc>
      </w:tr>
      <w:tr w:rsidR="006035A2" w14:paraId="3E9D29DF" w14:textId="77777777" w:rsidTr="00B60BB5">
        <w:trPr>
          <w:trHeight w:val="402"/>
          <w:jc w:val="center"/>
        </w:trPr>
        <w:tc>
          <w:tcPr>
            <w:tcW w:w="1667" w:type="pct"/>
            <w:tcBorders>
              <w:top w:val="nil"/>
              <w:left w:val="nil"/>
              <w:bottom w:val="nil"/>
              <w:right w:val="nil"/>
            </w:tcBorders>
            <w:shd w:val="clear" w:color="auto" w:fill="auto"/>
            <w:vAlign w:val="center"/>
            <w:hideMark/>
          </w:tcPr>
          <w:p w14:paraId="3D4F8F50" w14:textId="77777777" w:rsidR="00B60BB5" w:rsidRPr="006D5A63" w:rsidRDefault="000B27E4" w:rsidP="00B60BB5">
            <w:pPr>
              <w:spacing w:after="0" w:line="276" w:lineRule="auto"/>
              <w:jc w:val="center"/>
              <w:rPr>
                <w:rFonts w:ascii="Calibri Light" w:eastAsia="Times New Roman" w:hAnsi="Calibri Light" w:cs="Times New Roman"/>
                <w:color w:val="000000"/>
                <w:szCs w:val="20"/>
              </w:rPr>
            </w:pPr>
            <w:sdt>
              <w:sdtPr>
                <w:tag w:val="goog_rdk_9"/>
                <w:id w:val="1990594216"/>
              </w:sdtPr>
              <w:sdtEndPr/>
              <w:sdtContent/>
            </w:sdt>
          </w:p>
        </w:tc>
        <w:tc>
          <w:tcPr>
            <w:tcW w:w="1667" w:type="pct"/>
            <w:tcBorders>
              <w:top w:val="nil"/>
              <w:left w:val="nil"/>
              <w:bottom w:val="nil"/>
              <w:right w:val="nil"/>
            </w:tcBorders>
            <w:shd w:val="clear" w:color="auto" w:fill="auto"/>
            <w:vAlign w:val="center"/>
            <w:hideMark/>
          </w:tcPr>
          <w:p w14:paraId="3039CCE6" w14:textId="77777777" w:rsidR="00B60BB5" w:rsidRPr="006D5A63" w:rsidRDefault="000B27E4" w:rsidP="00B60BB5">
            <w:pPr>
              <w:spacing w:after="0" w:line="276" w:lineRule="auto"/>
              <w:jc w:val="center"/>
              <w:rPr>
                <w:rFonts w:ascii="Times New Roman" w:eastAsia="Times New Roman" w:hAnsi="Times New Roman" w:cs="Times New Roman"/>
                <w:szCs w:val="20"/>
              </w:rPr>
            </w:pPr>
          </w:p>
        </w:tc>
        <w:tc>
          <w:tcPr>
            <w:tcW w:w="1666" w:type="pct"/>
            <w:tcBorders>
              <w:top w:val="nil"/>
              <w:left w:val="nil"/>
              <w:bottom w:val="nil"/>
              <w:right w:val="nil"/>
            </w:tcBorders>
            <w:shd w:val="clear" w:color="auto" w:fill="auto"/>
            <w:vAlign w:val="center"/>
            <w:hideMark/>
          </w:tcPr>
          <w:p w14:paraId="34766F6B" w14:textId="77777777" w:rsidR="00B60BB5" w:rsidRPr="006D5A63" w:rsidRDefault="000B27E4" w:rsidP="00B60BB5">
            <w:pPr>
              <w:spacing w:after="0" w:line="276" w:lineRule="auto"/>
              <w:jc w:val="center"/>
              <w:rPr>
                <w:rFonts w:ascii="Times New Roman" w:eastAsia="Times New Roman" w:hAnsi="Times New Roman" w:cs="Times New Roman"/>
                <w:szCs w:val="20"/>
              </w:rPr>
            </w:pPr>
          </w:p>
        </w:tc>
      </w:tr>
      <w:tr w:rsidR="006035A2" w14:paraId="09C475FC" w14:textId="77777777" w:rsidTr="00B60BB5">
        <w:trPr>
          <w:trHeight w:val="402"/>
          <w:jc w:val="center"/>
        </w:trPr>
        <w:tc>
          <w:tcPr>
            <w:tcW w:w="1667" w:type="pct"/>
            <w:tcBorders>
              <w:top w:val="nil"/>
              <w:left w:val="nil"/>
              <w:bottom w:val="nil"/>
              <w:right w:val="nil"/>
            </w:tcBorders>
            <w:shd w:val="clear" w:color="auto" w:fill="auto"/>
            <w:vAlign w:val="center"/>
            <w:hideMark/>
          </w:tcPr>
          <w:p w14:paraId="2E5C2D39"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sdt>
              <w:sdtPr>
                <w:tag w:val="goog_rdk_10"/>
                <w:id w:val="-1678411629"/>
              </w:sdtPr>
              <w:sdtEndPr/>
              <w:sdtContent/>
            </w:sdt>
            <w:r>
              <w:rPr>
                <w:b/>
                <w:color w:val="3E7BB6"/>
              </w:rPr>
              <w:t>BOND YIELD</w:t>
            </w:r>
          </w:p>
        </w:tc>
        <w:tc>
          <w:tcPr>
            <w:tcW w:w="1667" w:type="pct"/>
            <w:tcBorders>
              <w:top w:val="nil"/>
              <w:left w:val="nil"/>
              <w:bottom w:val="nil"/>
              <w:right w:val="nil"/>
            </w:tcBorders>
            <w:shd w:val="clear" w:color="auto" w:fill="auto"/>
            <w:vAlign w:val="center"/>
            <w:hideMark/>
          </w:tcPr>
          <w:p w14:paraId="213FBC0D"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r>
              <w:rPr>
                <w:b/>
                <w:color w:val="3E7BB6"/>
              </w:rPr>
              <w:t>Y-T-D</w:t>
            </w:r>
          </w:p>
        </w:tc>
        <w:tc>
          <w:tcPr>
            <w:tcW w:w="1666" w:type="pct"/>
            <w:tcBorders>
              <w:top w:val="nil"/>
              <w:left w:val="nil"/>
              <w:bottom w:val="nil"/>
              <w:right w:val="nil"/>
            </w:tcBorders>
            <w:shd w:val="clear" w:color="auto" w:fill="auto"/>
            <w:vAlign w:val="center"/>
            <w:hideMark/>
          </w:tcPr>
          <w:p w14:paraId="251DF81F" w14:textId="77777777" w:rsidR="00B60BB5" w:rsidRPr="006D5A63" w:rsidRDefault="000B27E4" w:rsidP="00B60BB5">
            <w:pPr>
              <w:spacing w:after="0" w:line="276" w:lineRule="auto"/>
              <w:jc w:val="center"/>
              <w:rPr>
                <w:rFonts w:ascii="Calibri Light" w:eastAsia="Times New Roman" w:hAnsi="Calibri Light" w:cs="Times New Roman"/>
                <w:b/>
                <w:bCs/>
                <w:color w:val="F9BC50"/>
                <w:szCs w:val="20"/>
              </w:rPr>
            </w:pPr>
            <w:r>
              <w:rPr>
                <w:b/>
                <w:color w:val="3E7BB6"/>
              </w:rPr>
              <w:t>September 202</w:t>
            </w:r>
            <w:r>
              <w:rPr>
                <w:b/>
                <w:color w:val="3E7BB6"/>
              </w:rPr>
              <w:t>1</w:t>
            </w:r>
          </w:p>
        </w:tc>
      </w:tr>
      <w:tr w:rsidR="006035A2" w14:paraId="212B47FB"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50EF0B47" w14:textId="77777777" w:rsidR="00B60BB5" w:rsidRPr="006942AF" w:rsidRDefault="000B27E4" w:rsidP="00B60BB5">
            <w:pPr>
              <w:spacing w:after="0" w:line="276" w:lineRule="auto"/>
              <w:jc w:val="center"/>
              <w:rPr>
                <w:rFonts w:ascii="Calibri Light" w:eastAsia="Times New Roman" w:hAnsi="Calibri Light" w:cs="Times New Roman"/>
                <w:szCs w:val="20"/>
              </w:rPr>
            </w:pPr>
            <w:sdt>
              <w:sdtPr>
                <w:tag w:val="goog_rdk_11"/>
                <w:id w:val="1742901077"/>
              </w:sdtPr>
              <w:sdtEndPr/>
              <w:sdtContent/>
            </w:sdt>
            <w:r>
              <w:t>10 YR TREASURY</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7D908E9D" w14:textId="77777777" w:rsidR="00B60BB5" w:rsidRPr="006942AF" w:rsidRDefault="000B27E4" w:rsidP="00B60BB5">
            <w:pPr>
              <w:spacing w:after="0" w:line="276" w:lineRule="auto"/>
              <w:jc w:val="center"/>
              <w:rPr>
                <w:rFonts w:ascii="Calibri Light" w:eastAsia="Times New Roman" w:hAnsi="Calibri Light" w:cs="Times New Roman"/>
                <w:szCs w:val="20"/>
              </w:rPr>
            </w:pPr>
            <w:r>
              <w:t>0.61%</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2DBC057D" w14:textId="77777777" w:rsidR="00B60BB5" w:rsidRPr="006942AF" w:rsidRDefault="000B27E4" w:rsidP="00B60BB5">
            <w:pPr>
              <w:spacing w:after="0" w:line="276" w:lineRule="auto"/>
              <w:jc w:val="center"/>
              <w:rPr>
                <w:rFonts w:ascii="Calibri Light" w:eastAsia="Times New Roman" w:hAnsi="Calibri Light" w:cs="Times New Roman"/>
                <w:szCs w:val="20"/>
              </w:rPr>
            </w:pPr>
            <w:r>
              <w:t>1.53%</w:t>
            </w:r>
          </w:p>
        </w:tc>
      </w:tr>
    </w:tbl>
    <w:p w14:paraId="14752B2C" w14:textId="77777777" w:rsidR="00775662" w:rsidRPr="002D6595" w:rsidRDefault="000B27E4" w:rsidP="00EE6BF2">
      <w:pPr>
        <w:spacing w:line="276" w:lineRule="auto"/>
        <w:rPr>
          <w:rStyle w:val="st"/>
          <w:rFonts w:asciiTheme="majorHAnsi" w:hAnsiTheme="majorHAnsi"/>
          <w:color w:val="767171" w:themeColor="background2" w:themeShade="80"/>
          <w:sz w:val="4"/>
        </w:rPr>
      </w:pPr>
      <w:bookmarkStart w:id="1" w:name="_Hlk533682393"/>
      <w:bookmarkStart w:id="2" w:name="_Hlk2838771"/>
    </w:p>
    <w:bookmarkEnd w:id="1"/>
    <w:p w14:paraId="6E05F94B" w14:textId="77777777" w:rsidR="00E1190A" w:rsidRDefault="000B27E4" w:rsidP="00E1190A">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bookmarkEnd w:id="2"/>
      <w:r w:rsidRPr="00E1190A">
        <w:rPr>
          <w:rFonts w:asciiTheme="majorHAnsi" w:hAnsiTheme="majorHAnsi"/>
          <w:color w:val="767171" w:themeColor="background2" w:themeShade="80"/>
          <w:sz w:val="18"/>
          <w:szCs w:val="14"/>
        </w:rPr>
        <w:t xml:space="preserve">Yahoo Finance, September 30, 2021. </w:t>
      </w:r>
    </w:p>
    <w:p w14:paraId="7639A8EE" w14:textId="77777777" w:rsidR="00775662" w:rsidRPr="006942AF" w:rsidRDefault="000B27E4" w:rsidP="00E1190A">
      <w:pPr>
        <w:spacing w:line="276" w:lineRule="auto"/>
        <w:rPr>
          <w:rFonts w:asciiTheme="majorHAnsi" w:hAnsiTheme="majorHAnsi" w:cs="Verdana"/>
          <w:iCs/>
          <w:color w:val="767171" w:themeColor="background2" w:themeShade="80"/>
          <w:spacing w:val="-4"/>
          <w:sz w:val="18"/>
          <w:szCs w:val="14"/>
        </w:rPr>
      </w:pPr>
      <w:r w:rsidRPr="00E1190A">
        <w:rPr>
          <w:rFonts w:asciiTheme="majorHAnsi" w:hAnsiTheme="majorHAnsi"/>
          <w:color w:val="767171" w:themeColor="background2" w:themeShade="80"/>
          <w:sz w:val="18"/>
          <w:szCs w:val="14"/>
        </w:rPr>
        <w:t>The market indexes discussed are unmanaged and generally considered representative of their respective markets. Individuals cannot directly invest in unmanaged indexes. Past performance does not guarantee future results.</w:t>
      </w:r>
      <w:r w:rsidRPr="00E1190A">
        <w:rPr>
          <w:rFonts w:asciiTheme="majorHAnsi" w:hAnsiTheme="majorHAnsi"/>
          <w:color w:val="767171" w:themeColor="background2" w:themeShade="80"/>
          <w:sz w:val="18"/>
          <w:szCs w:val="14"/>
        </w:rPr>
        <w:t xml:space="preserve"> U.S. Treasury Notes are guaranteed by the federal government as to the timely payment of principal and interest. However, if you sell a Treasury Note prior to maturity, it may be worth more or less than the original price paid</w:t>
      </w:r>
      <w:r>
        <w:rPr>
          <w:rFonts w:asciiTheme="majorHAnsi" w:hAnsiTheme="majorHAnsi" w:cs="Verdana"/>
          <w:iCs/>
          <w:color w:val="767171" w:themeColor="background2" w:themeShade="80"/>
          <w:spacing w:val="-4"/>
          <w:sz w:val="18"/>
          <w:szCs w:val="14"/>
        </w:rPr>
        <w:t>.</w:t>
      </w:r>
    </w:p>
    <w:p w14:paraId="1D12A7E0" w14:textId="77777777" w:rsidR="006D5A63" w:rsidRDefault="000B27E4" w:rsidP="0082667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EBC6813" wp14:editId="6CF148C3">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FBF0820" w14:textId="77777777" w:rsidR="006D5A63" w:rsidRPr="00DD38C0" w:rsidRDefault="000B27E4" w:rsidP="00EE6BF2">
      <w:pPr>
        <w:spacing w:line="276" w:lineRule="auto"/>
        <w:jc w:val="center"/>
        <w:rPr>
          <w:rStyle w:val="st"/>
          <w:rFonts w:asciiTheme="majorHAnsi" w:hAnsiTheme="majorHAnsi"/>
          <w:color w:val="E88E0A"/>
          <w:sz w:val="4"/>
        </w:rPr>
      </w:pPr>
    </w:p>
    <w:p w14:paraId="0EA7A5F8" w14:textId="77777777" w:rsidR="006D5A63" w:rsidRPr="00CE13AE" w:rsidRDefault="000B27E4"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w:t>
      </w:r>
      <w:r w:rsidRPr="00CE13AE">
        <w:rPr>
          <w:rStyle w:val="st"/>
          <w:rFonts w:asciiTheme="majorHAnsi" w:hAnsiTheme="majorHAnsi"/>
          <w:color w:val="3E7BB6"/>
        </w:rPr>
        <w:t xml:space="preserve"> I D D L E</w:t>
      </w:r>
    </w:p>
    <w:p w14:paraId="5096D5C3" w14:textId="77777777" w:rsidR="006D5A63" w:rsidRPr="00DD38C0" w:rsidRDefault="000B27E4" w:rsidP="00EE6BF2">
      <w:pPr>
        <w:spacing w:line="276" w:lineRule="auto"/>
        <w:jc w:val="center"/>
        <w:rPr>
          <w:rStyle w:val="st"/>
          <w:rFonts w:asciiTheme="majorHAnsi" w:hAnsiTheme="majorHAnsi"/>
          <w:sz w:val="4"/>
        </w:rPr>
      </w:pPr>
    </w:p>
    <w:p w14:paraId="45937C4C" w14:textId="77777777" w:rsidR="006D5A63" w:rsidRDefault="000B27E4"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7F8152F4" wp14:editId="1F584D0F">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46143D03" w14:textId="77777777" w:rsidR="006D5A63" w:rsidRPr="002F292D" w:rsidRDefault="000B27E4" w:rsidP="007C4F03">
      <w:pPr>
        <w:spacing w:line="276" w:lineRule="auto"/>
        <w:jc w:val="center"/>
        <w:rPr>
          <w:rStyle w:val="st"/>
          <w:rFonts w:asciiTheme="majorHAnsi" w:hAnsiTheme="majorHAnsi"/>
          <w:i/>
          <w:sz w:val="36"/>
        </w:rPr>
      </w:pPr>
      <w:bookmarkStart w:id="3" w:name="_Hlk533572087"/>
      <w:r w:rsidRPr="00D43B2F">
        <w:rPr>
          <w:rStyle w:val="st"/>
          <w:rFonts w:asciiTheme="majorHAnsi" w:hAnsiTheme="majorHAnsi"/>
          <w:i/>
          <w:sz w:val="36"/>
        </w:rPr>
        <w:t>Tom's mother has four children. Each was born exactly one year and one month apart from the previous child. The first she named April, the second she named May, the third she named June.  What did she name her fourth child</w:t>
      </w:r>
      <w:r w:rsidRPr="002F292D">
        <w:rPr>
          <w:rStyle w:val="st"/>
          <w:rFonts w:asciiTheme="majorHAnsi" w:hAnsiTheme="majorHAnsi"/>
          <w:i/>
          <w:sz w:val="36"/>
        </w:rPr>
        <w:t>?</w:t>
      </w:r>
    </w:p>
    <w:bookmarkEnd w:id="3"/>
    <w:p w14:paraId="117567EC" w14:textId="77777777" w:rsidR="00237981" w:rsidRPr="00DD38C0" w:rsidRDefault="000B27E4" w:rsidP="00EE6BF2">
      <w:pPr>
        <w:spacing w:line="276" w:lineRule="auto"/>
        <w:jc w:val="center"/>
        <w:rPr>
          <w:rStyle w:val="st"/>
          <w:rFonts w:asciiTheme="majorHAnsi" w:hAnsiTheme="majorHAnsi"/>
          <w:i/>
          <w:color w:val="A6A6A6" w:themeColor="background1" w:themeShade="A6"/>
          <w:sz w:val="4"/>
        </w:rPr>
      </w:pPr>
    </w:p>
    <w:p w14:paraId="60207551" w14:textId="77777777" w:rsidR="00237981" w:rsidRPr="00DD38C0" w:rsidRDefault="000B27E4"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D43B2F">
        <w:rPr>
          <w:rStyle w:val="st"/>
          <w:rFonts w:asciiTheme="majorHAnsi" w:hAnsiTheme="majorHAnsi"/>
          <w:i/>
          <w:color w:val="646464"/>
        </w:rPr>
        <w:t>What do the words Potato, Voodoo, Grammar, Revive and Banana have in common</w:t>
      </w:r>
      <w:r w:rsidRPr="001F3044">
        <w:rPr>
          <w:rStyle w:val="st"/>
          <w:rFonts w:asciiTheme="majorHAnsi" w:hAnsiTheme="majorHAnsi"/>
          <w:i/>
          <w:color w:val="646464"/>
        </w:rPr>
        <w:t>?</w:t>
      </w:r>
    </w:p>
    <w:p w14:paraId="58418130" w14:textId="77777777" w:rsidR="00237981" w:rsidRPr="00DD38C0" w:rsidRDefault="000B27E4"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sidRPr="00D43B2F">
        <w:rPr>
          <w:rStyle w:val="st"/>
          <w:rFonts w:asciiTheme="majorHAnsi" w:hAnsiTheme="majorHAnsi"/>
          <w:i/>
          <w:color w:val="646464"/>
        </w:rPr>
        <w:t>All five words read the same backwards when their first letter is moved to the last position. (Ex: Banana ... move "b" to the end position to spell "ananab". An</w:t>
      </w:r>
      <w:r w:rsidRPr="00D43B2F">
        <w:rPr>
          <w:rStyle w:val="st"/>
          <w:rFonts w:asciiTheme="majorHAnsi" w:hAnsiTheme="majorHAnsi"/>
          <w:i/>
          <w:color w:val="646464"/>
        </w:rPr>
        <w:t>anab = Banana spelled backwards.)</w:t>
      </w:r>
      <w:r w:rsidRPr="0006123D">
        <w:rPr>
          <w:rStyle w:val="st"/>
          <w:rFonts w:asciiTheme="majorHAnsi" w:hAnsiTheme="majorHAnsi"/>
          <w:i/>
          <w:color w:val="646464"/>
        </w:rPr>
        <w:t>.</w:t>
      </w:r>
    </w:p>
    <w:p w14:paraId="6405E354" w14:textId="77777777" w:rsidR="00237981" w:rsidRPr="00DD38C0" w:rsidRDefault="000B27E4" w:rsidP="00EE6BF2">
      <w:pPr>
        <w:spacing w:line="276" w:lineRule="auto"/>
        <w:jc w:val="center"/>
        <w:rPr>
          <w:rStyle w:val="st"/>
          <w:rFonts w:asciiTheme="majorHAnsi" w:hAnsiTheme="majorHAnsi"/>
          <w:i/>
          <w:color w:val="A6A6A6" w:themeColor="background1" w:themeShade="A6"/>
          <w:sz w:val="4"/>
        </w:rPr>
      </w:pPr>
    </w:p>
    <w:p w14:paraId="50EF0600" w14:textId="77777777" w:rsidR="00237981" w:rsidRDefault="000B27E4"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1990FA04" wp14:editId="69D41C74">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CC60AD5" w14:textId="77777777" w:rsidR="00237981" w:rsidRPr="00DD38C0" w:rsidRDefault="000B27E4" w:rsidP="00EE6BF2">
      <w:pPr>
        <w:spacing w:line="276" w:lineRule="auto"/>
        <w:rPr>
          <w:rFonts w:asciiTheme="majorHAnsi" w:hAnsiTheme="majorHAnsi"/>
          <w:color w:val="A6A6A6" w:themeColor="background1" w:themeShade="A6"/>
          <w:sz w:val="2"/>
          <w:szCs w:val="20"/>
        </w:rPr>
      </w:pPr>
    </w:p>
    <w:p w14:paraId="549A8F9A" w14:textId="464F872E" w:rsidR="006E3EBF" w:rsidRPr="00425944" w:rsidRDefault="00142D93"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t>Jason Kleemeier</w:t>
      </w:r>
      <w:r w:rsidR="000B27E4" w:rsidRPr="00237981">
        <w:rPr>
          <w:rFonts w:asciiTheme="majorHAnsi" w:hAnsiTheme="majorHAnsi" w:cs="Times New Roman"/>
          <w:sz w:val="24"/>
          <w:szCs w:val="32"/>
        </w:rPr>
        <w:t xml:space="preserve"> may be reached at </w:t>
      </w:r>
      <w:r>
        <w:rPr>
          <w:rFonts w:asciiTheme="majorHAnsi" w:hAnsiTheme="majorHAnsi" w:cs="Times New Roman"/>
          <w:sz w:val="24"/>
          <w:szCs w:val="32"/>
        </w:rPr>
        <w:t>515-462-4553</w:t>
      </w:r>
      <w:r w:rsidR="000B27E4" w:rsidRPr="00237981">
        <w:rPr>
          <w:rFonts w:asciiTheme="majorHAnsi" w:hAnsiTheme="majorHAnsi" w:cs="Times New Roman"/>
          <w:sz w:val="24"/>
          <w:szCs w:val="32"/>
        </w:rPr>
        <w:t xml:space="preserve"> or </w:t>
      </w:r>
      <w:hyperlink r:id="rId9" w:history="1">
        <w:r w:rsidRPr="002D10D5">
          <w:rPr>
            <w:rStyle w:val="Hyperlink"/>
            <w:rFonts w:asciiTheme="majorHAnsi" w:hAnsiTheme="majorHAnsi" w:cs="Times New Roman"/>
            <w:sz w:val="24"/>
            <w:szCs w:val="32"/>
          </w:rPr>
          <w:t>jason@onewealth4me.com</w:t>
        </w:r>
      </w:hyperlink>
      <w:r>
        <w:rPr>
          <w:rFonts w:asciiTheme="majorHAnsi" w:hAnsiTheme="majorHAnsi" w:cs="Times New Roman"/>
          <w:sz w:val="24"/>
          <w:szCs w:val="32"/>
        </w:rPr>
        <w:t xml:space="preserve"> </w:t>
      </w:r>
      <w:r w:rsidR="000B27E4">
        <w:rPr>
          <w:rFonts w:asciiTheme="majorHAnsi" w:hAnsiTheme="majorHAnsi" w:cs="Times New Roman"/>
          <w:sz w:val="24"/>
          <w:szCs w:val="32"/>
        </w:rPr>
        <w:br/>
      </w:r>
      <w:r>
        <w:rPr>
          <w:rFonts w:asciiTheme="majorHAnsi" w:hAnsiTheme="majorHAnsi" w:cs="Times New Roman"/>
          <w:sz w:val="24"/>
          <w:szCs w:val="32"/>
        </w:rPr>
        <w:t>www.onewealth4me.com</w:t>
      </w:r>
      <w:r w:rsidR="000B27E4">
        <w:rPr>
          <w:rFonts w:asciiTheme="majorHAnsi" w:hAnsiTheme="majorHAnsi" w:cs="Times New Roman"/>
          <w:sz w:val="24"/>
          <w:szCs w:val="32"/>
        </w:rPr>
        <w:br/>
      </w:r>
    </w:p>
    <w:p w14:paraId="4883FB75" w14:textId="77777777" w:rsidR="00237981" w:rsidRPr="00DD38C0" w:rsidRDefault="000B27E4"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w:t>
      </w:r>
      <w:r>
        <w:rPr>
          <w:rFonts w:asciiTheme="majorHAnsi" w:hAnsiTheme="majorHAnsi" w:cs="Times New Roman"/>
          <w:sz w:val="24"/>
          <w:szCs w:val="32"/>
        </w:rPr>
        <w:t>on via phone or email. (Don’t worry – we’ll request their permission before adding them to our mailing list.)</w:t>
      </w:r>
    </w:p>
    <w:p w14:paraId="0A52A2A8" w14:textId="77777777" w:rsidR="00237981" w:rsidRDefault="000B27E4"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09548667" wp14:editId="0AB4E55A">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F36B0C5" w14:textId="77777777" w:rsidR="00EA0505" w:rsidRPr="00DD38C0" w:rsidRDefault="000B27E4" w:rsidP="00EE6BF2">
      <w:pPr>
        <w:spacing w:line="276" w:lineRule="auto"/>
        <w:jc w:val="both"/>
        <w:rPr>
          <w:rFonts w:asciiTheme="majorHAnsi" w:hAnsiTheme="majorHAnsi"/>
          <w:color w:val="646464"/>
          <w:sz w:val="2"/>
          <w:szCs w:val="16"/>
        </w:rPr>
      </w:pPr>
    </w:p>
    <w:p w14:paraId="3EA0A34B" w14:textId="56A3E95B" w:rsidR="00142D93" w:rsidRDefault="00142D93" w:rsidP="00EE6BF2">
      <w:pPr>
        <w:widowControl w:val="0"/>
        <w:autoSpaceDE w:val="0"/>
        <w:autoSpaceDN w:val="0"/>
        <w:adjustRightInd w:val="0"/>
        <w:spacing w:line="276" w:lineRule="auto"/>
        <w:jc w:val="both"/>
        <w:rPr>
          <w:rFonts w:asciiTheme="majorHAnsi" w:hAnsiTheme="majorHAnsi" w:cs="Arial"/>
          <w:color w:val="646464"/>
          <w:sz w:val="16"/>
          <w:szCs w:val="16"/>
        </w:rPr>
      </w:pPr>
      <w:r w:rsidRPr="00142D93">
        <w:rPr>
          <w:rFonts w:asciiTheme="majorHAnsi" w:hAnsiTheme="majorHAnsi" w:cs="Arial"/>
          <w:color w:val="646464"/>
          <w:sz w:val="16"/>
          <w:szCs w:val="16"/>
        </w:rPr>
        <w:lastRenderedPageBreak/>
        <w:t>Securities offered through Registered Representatives of Cambridge Investment Research Inc., a broker dealer, member FINRA/SIPC. Advisory services</w:t>
      </w:r>
      <w:r>
        <w:rPr>
          <w:rFonts w:asciiTheme="majorHAnsi" w:hAnsiTheme="majorHAnsi" w:cs="Arial"/>
          <w:color w:val="646464"/>
          <w:sz w:val="16"/>
          <w:szCs w:val="16"/>
        </w:rPr>
        <w:t xml:space="preserve"> </w:t>
      </w:r>
      <w:r w:rsidRPr="00142D93">
        <w:rPr>
          <w:rFonts w:asciiTheme="majorHAnsi" w:hAnsiTheme="majorHAnsi" w:cs="Arial"/>
          <w:color w:val="646464"/>
          <w:sz w:val="16"/>
          <w:szCs w:val="16"/>
        </w:rPr>
        <w:t>offered through Cambridge Investment Research Advisors</w:t>
      </w:r>
      <w:r>
        <w:rPr>
          <w:rFonts w:ascii="Arial" w:hAnsi="Arial" w:cs="Arial"/>
          <w:color w:val="000000"/>
          <w:shd w:val="clear" w:color="auto" w:fill="FFFFFF"/>
        </w:rPr>
        <w:t xml:space="preserve"> </w:t>
      </w:r>
      <w:r w:rsidRPr="00142D93">
        <w:rPr>
          <w:rFonts w:asciiTheme="majorHAnsi" w:hAnsiTheme="majorHAnsi" w:cs="Arial"/>
          <w:color w:val="646464"/>
          <w:sz w:val="16"/>
          <w:szCs w:val="16"/>
        </w:rPr>
        <w:t xml:space="preserve">Inc., a Registered Investment Adviser. </w:t>
      </w:r>
      <w:proofErr w:type="spellStart"/>
      <w:r w:rsidRPr="00142D93">
        <w:rPr>
          <w:rFonts w:asciiTheme="majorHAnsi" w:hAnsiTheme="majorHAnsi" w:cs="Arial"/>
          <w:color w:val="646464"/>
          <w:sz w:val="16"/>
          <w:szCs w:val="16"/>
        </w:rPr>
        <w:t>OneWealth</w:t>
      </w:r>
      <w:proofErr w:type="spellEnd"/>
      <w:r w:rsidRPr="00142D93">
        <w:rPr>
          <w:rFonts w:asciiTheme="majorHAnsi" w:hAnsiTheme="majorHAnsi" w:cs="Arial"/>
          <w:color w:val="646464"/>
          <w:sz w:val="16"/>
          <w:szCs w:val="16"/>
        </w:rPr>
        <w:t xml:space="preserve"> and Cambridge are not affiliated.</w:t>
      </w:r>
    </w:p>
    <w:p w14:paraId="70BB3128" w14:textId="4C06DEDD" w:rsidR="00237981" w:rsidRPr="00DD38C0" w:rsidRDefault="000B27E4" w:rsidP="00EE6BF2">
      <w:pPr>
        <w:widowControl w:val="0"/>
        <w:autoSpaceDE w:val="0"/>
        <w:autoSpaceDN w:val="0"/>
        <w:adjustRightInd w:val="0"/>
        <w:spacing w:line="276" w:lineRule="auto"/>
        <w:jc w:val="both"/>
        <w:rPr>
          <w:rFonts w:asciiTheme="majorHAnsi" w:hAnsiTheme="majorHAnsi"/>
          <w:color w:val="646464"/>
          <w:sz w:val="16"/>
          <w:szCs w:val="16"/>
        </w:rPr>
      </w:pPr>
      <w:r w:rsidRPr="00455DFE">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455DFE">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455DFE">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455DFE">
        <w:rPr>
          <w:rFonts w:asciiTheme="majorHAnsi" w:hAnsiTheme="majorHAnsi" w:cs="Arial"/>
          <w:color w:val="646464"/>
          <w:sz w:val="16"/>
          <w:szCs w:val="16"/>
        </w:rPr>
        <w:t>ed and are not illustrative of any particular investment. Indices do not incur management fees, costs, or expenses. Investors cannot invest directly in indices. All economic and performance data is historical and not indicative of future results. The Dow J</w:t>
      </w:r>
      <w:r w:rsidRPr="00455DFE">
        <w:rPr>
          <w:rFonts w:asciiTheme="majorHAnsi" w:hAnsiTheme="majorHAnsi" w:cs="Arial"/>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455DFE">
        <w:rPr>
          <w:rFonts w:asciiTheme="majorHAnsi" w:hAnsiTheme="majorHAnsi" w:cs="Arial"/>
          <w:color w:val="646464"/>
          <w:sz w:val="16"/>
          <w:szCs w:val="16"/>
        </w:rPr>
        <w:t xml:space="preserve">on System. The Standard &amp; Poor's 500 (S&amp;P 500) is a market-cap weighted index composed of the common stocks of 500 leading companies in leading industries of the U.S. economy. The Russell 2000 Index measures the performance of the small-cap segment of the </w:t>
      </w:r>
      <w:r w:rsidRPr="00455DFE">
        <w:rPr>
          <w:rFonts w:asciiTheme="majorHAnsi" w:hAnsiTheme="majorHAnsi" w:cs="Arial"/>
          <w:color w:val="646464"/>
          <w:sz w:val="16"/>
          <w:szCs w:val="16"/>
        </w:rPr>
        <w:t>U.S. equity universe. The CBOE Volatility Index® (VIX®) is a key measure of market expectations of near-term volatility conveyed by S&amp;P 500 stock index option prices. NYSE Group, Inc. (NYSE:NYX) operates two securities exchanges: the New York Stock Exchang</w:t>
      </w:r>
      <w:r w:rsidRPr="00455DFE">
        <w:rPr>
          <w:rFonts w:asciiTheme="majorHAnsi" w:hAnsiTheme="majorHAnsi" w:cs="Arial"/>
          <w:color w:val="646464"/>
          <w:sz w:val="16"/>
          <w:szCs w:val="16"/>
        </w:rPr>
        <w:t>e (the “NYSE”) and NYSE Arca (formerly known as the Archipelago Exchange, or ArcaEx®, and the Pacific Exchange). NYSE Group is a leading provider of securities listing, trading and market data products and services. The New York Mercantile Exchange, Inc. (</w:t>
      </w:r>
      <w:r w:rsidRPr="00455DFE">
        <w:rPr>
          <w:rFonts w:asciiTheme="majorHAnsi" w:hAnsiTheme="majorHAnsi" w:cs="Arial"/>
          <w:color w:val="646464"/>
          <w:sz w:val="16"/>
          <w:szCs w:val="16"/>
        </w:rPr>
        <w:t>NYMEX) is the world's largest physical commodity futures exchange and the preeminent trading forum for energy and precious metals, with trading conducted through two divisions – the NYMEX Division, home to the energy, platinum, and palladium markets, and t</w:t>
      </w:r>
      <w:r w:rsidRPr="00455DFE">
        <w:rPr>
          <w:rFonts w:asciiTheme="majorHAnsi" w:hAnsiTheme="majorHAnsi" w:cs="Arial"/>
          <w:color w:val="646464"/>
          <w:sz w:val="16"/>
          <w:szCs w:val="16"/>
        </w:rPr>
        <w:t>he COMEX Division, on which all other metals trade. The SSE Composite Index is an index of all stocks (A shares and B shares) that are traded at the Shanghai Stock Exchange. The CAC-40 Index is a narrow-based, modified capitalization-weighted index of 40 c</w:t>
      </w:r>
      <w:r w:rsidRPr="00455DFE">
        <w:rPr>
          <w:rFonts w:asciiTheme="majorHAnsi" w:hAnsiTheme="majorHAnsi" w:cs="Arial"/>
          <w:color w:val="646464"/>
          <w:sz w:val="16"/>
          <w:szCs w:val="16"/>
        </w:rPr>
        <w:t>ompanies listed on the Paris Bourse. The FTSEurofirst 300 Index comprises the 300 largest companies ranked by market capitalization in the FTSE Developed Europe Index. The FTSE 100 Index is a share index of the 100 companies listed on the London Stock Exch</w:t>
      </w:r>
      <w:r w:rsidRPr="00455DFE">
        <w:rPr>
          <w:rFonts w:asciiTheme="majorHAnsi" w:hAnsiTheme="majorHAnsi" w:cs="Arial"/>
          <w:color w:val="646464"/>
          <w:sz w:val="16"/>
          <w:szCs w:val="16"/>
        </w:rPr>
        <w:t>ange with the highest market capitalization. Established in January 1980, the All Ordinaries is the oldest index of shares in Australia. It is made up of the share prices for 500 of the largest companies listed on the Australian Securities Exchange. The S&amp;</w:t>
      </w:r>
      <w:r w:rsidRPr="00455DFE">
        <w:rPr>
          <w:rFonts w:asciiTheme="majorHAnsi" w:hAnsiTheme="majorHAnsi" w:cs="Arial"/>
          <w:color w:val="646464"/>
          <w:sz w:val="16"/>
          <w:szCs w:val="16"/>
        </w:rPr>
        <w:t>P/TSX Composite Index is an index of the stock (equity) prices of the largest companies on the Toronto Stock Exchange (TSX) as measured by market capitalization. The Hang Seng Index is a free float-adjusted market capitalization-weighted stock market index</w:t>
      </w:r>
      <w:r w:rsidRPr="00455DFE">
        <w:rPr>
          <w:rFonts w:asciiTheme="majorHAnsi" w:hAnsiTheme="majorHAnsi" w:cs="Arial"/>
          <w:color w:val="646464"/>
          <w:sz w:val="16"/>
          <w:szCs w:val="16"/>
        </w:rPr>
        <w:t xml:space="preserve"> that is the main indicator of the overall market performance in Hong Kong. The FTSE TWSE Taiwan 50 Index is a capitalization-weighted index of stocks comprising 50 companies listed on the Taiwan Stock Exchange developed by Taiwan Stock Exchange in collabo</w:t>
      </w:r>
      <w:r w:rsidRPr="00455DFE">
        <w:rPr>
          <w:rFonts w:asciiTheme="majorHAnsi" w:hAnsiTheme="majorHAnsi" w:cs="Arial"/>
          <w:color w:val="646464"/>
          <w:sz w:val="16"/>
          <w:szCs w:val="16"/>
        </w:rPr>
        <w:t>ration with FTSE. The MSCI World Index is a free-float weighted equity index that includes developed world markets and does not include emerging markets. The Mexican Stock Exchange, commonly known as Mexican Bolsa, Mexbol, or BMV, is the only stock exchang</w:t>
      </w:r>
      <w:r w:rsidRPr="00455DFE">
        <w:rPr>
          <w:rFonts w:asciiTheme="majorHAnsi" w:hAnsiTheme="majorHAnsi" w:cs="Arial"/>
          <w:color w:val="646464"/>
          <w:sz w:val="16"/>
          <w:szCs w:val="16"/>
        </w:rPr>
        <w:t>e in Mexico. The U.S. Dollar Index measures the performance of the U.S. dollar against a basket of six currencies. Additional risks are associated with international investing, such as currency fluctuations, political and economic instability, and differen</w:t>
      </w:r>
      <w:r w:rsidRPr="00455DFE">
        <w:rPr>
          <w:rFonts w:asciiTheme="majorHAnsi" w:hAnsiTheme="majorHAnsi" w:cs="Arial"/>
          <w:color w:val="646464"/>
          <w:sz w:val="16"/>
          <w:szCs w:val="16"/>
        </w:rPr>
        <w:t xml:space="preserve">ces in accounting standards. This material represents an assessment of the market environment at a specific point in time and is not intended to be a forecast of future events or a guarantee of future results. MarketingPro, Inc. is not affiliated with any </w:t>
      </w:r>
      <w:r w:rsidRPr="00455DFE">
        <w:rPr>
          <w:rFonts w:asciiTheme="majorHAnsi" w:hAnsiTheme="majorHAnsi" w:cs="Arial"/>
          <w:color w:val="646464"/>
          <w:sz w:val="16"/>
          <w:szCs w:val="16"/>
        </w:rPr>
        <w:t>person or firm that may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5859B5C7" w14:textId="77777777" w:rsidR="00237981" w:rsidRPr="00DD38C0" w:rsidRDefault="000B27E4"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w:t>
      </w:r>
      <w:r w:rsidRPr="00DD38C0">
        <w:rPr>
          <w:rFonts w:asciiTheme="majorHAnsi" w:hAnsiTheme="majorHAnsi" w:cs="Arial"/>
          <w:color w:val="646464"/>
          <w:sz w:val="16"/>
          <w:szCs w:val="16"/>
        </w:rPr>
        <w:t>TATIONS:</w:t>
      </w:r>
    </w:p>
    <w:p w14:paraId="049F8304"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 WSJ.com, September 30, 2021</w:t>
      </w:r>
    </w:p>
    <w:p w14:paraId="7671DD42"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2. WSJ.com, September 22, 2021</w:t>
      </w:r>
    </w:p>
    <w:p w14:paraId="09421EA5"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3. WSJ.com, September 22, 2021</w:t>
      </w:r>
    </w:p>
    <w:p w14:paraId="489E688C"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4. CNBC.com, September 22. 2021</w:t>
      </w:r>
    </w:p>
    <w:p w14:paraId="001D9D14"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5. Sectorspdr.com, September 30, 2021</w:t>
      </w:r>
    </w:p>
    <w:p w14:paraId="0B1FB00E"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6. CNBC.com, April 27, 2021</w:t>
      </w:r>
    </w:p>
    <w:p w14:paraId="59B1CDDF"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7. MSCI.com, September 30, 2021</w:t>
      </w:r>
    </w:p>
    <w:p w14:paraId="1533C27D"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 xml:space="preserve">8. MSCI.com, </w:t>
      </w:r>
      <w:r w:rsidRPr="00AE4593">
        <w:rPr>
          <w:rFonts w:asciiTheme="majorHAnsi" w:hAnsiTheme="majorHAnsi" w:cstheme="majorHAnsi"/>
          <w:color w:val="808080" w:themeColor="background1" w:themeShade="80"/>
          <w:sz w:val="16"/>
          <w:szCs w:val="16"/>
        </w:rPr>
        <w:t>September 30, 2021</w:t>
      </w:r>
    </w:p>
    <w:p w14:paraId="7DB901D5"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9. MSCI.com, September 30, 2021</w:t>
      </w:r>
    </w:p>
    <w:p w14:paraId="3D885312"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10. CNBC.com, September 30, 2021</w:t>
      </w:r>
    </w:p>
    <w:p w14:paraId="31E7BBC5"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11. CNBC.com, September 3, 2021</w:t>
      </w:r>
    </w:p>
    <w:p w14:paraId="221B536E"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12. CNBC.com, September 16, 2021</w:t>
      </w:r>
    </w:p>
    <w:p w14:paraId="0D5C54CB"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13. MarketWatch.com, September 15, 2021</w:t>
      </w:r>
    </w:p>
    <w:p w14:paraId="2A2D9B35"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14. CNBC.com, September 21, 2021</w:t>
      </w:r>
    </w:p>
    <w:p w14:paraId="32A80138"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 xml:space="preserve">15. CNBC.com, September 22, </w:t>
      </w:r>
      <w:r w:rsidRPr="00AE4593">
        <w:rPr>
          <w:rFonts w:asciiTheme="majorHAnsi" w:hAnsiTheme="majorHAnsi" w:cstheme="majorHAnsi"/>
          <w:color w:val="808080" w:themeColor="background1" w:themeShade="80"/>
          <w:sz w:val="16"/>
          <w:szCs w:val="16"/>
        </w:rPr>
        <w:t>2021</w:t>
      </w:r>
    </w:p>
    <w:p w14:paraId="72438753"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16. USNews.com, September 24, 2021</w:t>
      </w:r>
    </w:p>
    <w:p w14:paraId="23AB6E05"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17. WSJ.com, September 14, 2021</w:t>
      </w:r>
    </w:p>
    <w:p w14:paraId="02A87AD4" w14:textId="77777777" w:rsidR="00AE4593" w:rsidRPr="00AE4593"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18. WSJ.com, September 27, 2021</w:t>
      </w:r>
    </w:p>
    <w:p w14:paraId="147CD5A9" w14:textId="77777777" w:rsidR="008E168C" w:rsidRPr="00410159" w:rsidRDefault="000B27E4" w:rsidP="00AE4593">
      <w:pPr>
        <w:spacing w:after="0" w:line="240" w:lineRule="auto"/>
        <w:rPr>
          <w:rFonts w:asciiTheme="majorHAnsi" w:hAnsiTheme="majorHAnsi" w:cstheme="majorHAnsi"/>
          <w:color w:val="808080" w:themeColor="background1" w:themeShade="80"/>
          <w:sz w:val="16"/>
          <w:szCs w:val="16"/>
        </w:rPr>
      </w:pPr>
      <w:r w:rsidRPr="00AE4593">
        <w:rPr>
          <w:rFonts w:asciiTheme="majorHAnsi" w:hAnsiTheme="majorHAnsi" w:cstheme="majorHAnsi"/>
          <w:color w:val="808080" w:themeColor="background1" w:themeShade="80"/>
          <w:sz w:val="16"/>
          <w:szCs w:val="16"/>
        </w:rPr>
        <w:t>19. WSJ.com, September 22, 2021</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4EF1"/>
    <w:multiLevelType w:val="hybridMultilevel"/>
    <w:tmpl w:val="52807AE8"/>
    <w:lvl w:ilvl="0" w:tplc="8C2E24AC">
      <w:start w:val="1"/>
      <w:numFmt w:val="bullet"/>
      <w:lvlText w:val=""/>
      <w:lvlJc w:val="left"/>
      <w:pPr>
        <w:ind w:left="720" w:hanging="360"/>
      </w:pPr>
      <w:rPr>
        <w:rFonts w:ascii="Symbol" w:hAnsi="Symbol" w:hint="default"/>
      </w:rPr>
    </w:lvl>
    <w:lvl w:ilvl="1" w:tplc="4D46DEC8" w:tentative="1">
      <w:start w:val="1"/>
      <w:numFmt w:val="bullet"/>
      <w:lvlText w:val="o"/>
      <w:lvlJc w:val="left"/>
      <w:pPr>
        <w:ind w:left="1440" w:hanging="360"/>
      </w:pPr>
      <w:rPr>
        <w:rFonts w:ascii="Courier New" w:hAnsi="Courier New" w:cs="Courier New" w:hint="default"/>
      </w:rPr>
    </w:lvl>
    <w:lvl w:ilvl="2" w:tplc="4DA41296" w:tentative="1">
      <w:start w:val="1"/>
      <w:numFmt w:val="bullet"/>
      <w:lvlText w:val=""/>
      <w:lvlJc w:val="left"/>
      <w:pPr>
        <w:ind w:left="2160" w:hanging="360"/>
      </w:pPr>
      <w:rPr>
        <w:rFonts w:ascii="Wingdings" w:hAnsi="Wingdings" w:hint="default"/>
      </w:rPr>
    </w:lvl>
    <w:lvl w:ilvl="3" w:tplc="7CEE440E" w:tentative="1">
      <w:start w:val="1"/>
      <w:numFmt w:val="bullet"/>
      <w:lvlText w:val=""/>
      <w:lvlJc w:val="left"/>
      <w:pPr>
        <w:ind w:left="2880" w:hanging="360"/>
      </w:pPr>
      <w:rPr>
        <w:rFonts w:ascii="Symbol" w:hAnsi="Symbol" w:hint="default"/>
      </w:rPr>
    </w:lvl>
    <w:lvl w:ilvl="4" w:tplc="1D88619C" w:tentative="1">
      <w:start w:val="1"/>
      <w:numFmt w:val="bullet"/>
      <w:lvlText w:val="o"/>
      <w:lvlJc w:val="left"/>
      <w:pPr>
        <w:ind w:left="3600" w:hanging="360"/>
      </w:pPr>
      <w:rPr>
        <w:rFonts w:ascii="Courier New" w:hAnsi="Courier New" w:cs="Courier New" w:hint="default"/>
      </w:rPr>
    </w:lvl>
    <w:lvl w:ilvl="5" w:tplc="1DF8FA70" w:tentative="1">
      <w:start w:val="1"/>
      <w:numFmt w:val="bullet"/>
      <w:lvlText w:val=""/>
      <w:lvlJc w:val="left"/>
      <w:pPr>
        <w:ind w:left="4320" w:hanging="360"/>
      </w:pPr>
      <w:rPr>
        <w:rFonts w:ascii="Wingdings" w:hAnsi="Wingdings" w:hint="default"/>
      </w:rPr>
    </w:lvl>
    <w:lvl w:ilvl="6" w:tplc="2310655A" w:tentative="1">
      <w:start w:val="1"/>
      <w:numFmt w:val="bullet"/>
      <w:lvlText w:val=""/>
      <w:lvlJc w:val="left"/>
      <w:pPr>
        <w:ind w:left="5040" w:hanging="360"/>
      </w:pPr>
      <w:rPr>
        <w:rFonts w:ascii="Symbol" w:hAnsi="Symbol" w:hint="default"/>
      </w:rPr>
    </w:lvl>
    <w:lvl w:ilvl="7" w:tplc="B9707406" w:tentative="1">
      <w:start w:val="1"/>
      <w:numFmt w:val="bullet"/>
      <w:lvlText w:val="o"/>
      <w:lvlJc w:val="left"/>
      <w:pPr>
        <w:ind w:left="5760" w:hanging="360"/>
      </w:pPr>
      <w:rPr>
        <w:rFonts w:ascii="Courier New" w:hAnsi="Courier New" w:cs="Courier New" w:hint="default"/>
      </w:rPr>
    </w:lvl>
    <w:lvl w:ilvl="8" w:tplc="87CADC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2"/>
    <w:rsid w:val="000B27E4"/>
    <w:rsid w:val="00142D93"/>
    <w:rsid w:val="006035A2"/>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8DD4"/>
  <w15:docId w15:val="{19B198B1-1994-4278-8074-A06FD7E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character" w:styleId="Hyperlink">
    <w:name w:val="Hyperlink"/>
    <w:basedOn w:val="DefaultParagraphFont"/>
    <w:uiPriority w:val="99"/>
    <w:unhideWhenUsed/>
    <w:rsid w:val="00142D93"/>
    <w:rPr>
      <w:color w:val="0563C1" w:themeColor="hyperlink"/>
      <w:u w:val="single"/>
    </w:rPr>
  </w:style>
  <w:style w:type="character" w:styleId="UnresolvedMention">
    <w:name w:val="Unresolved Mention"/>
    <w:basedOn w:val="DefaultParagraphFont"/>
    <w:uiPriority w:val="99"/>
    <w:rsid w:val="00142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son@onewealth4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Jason</cp:lastModifiedBy>
  <cp:revision>2</cp:revision>
  <dcterms:created xsi:type="dcterms:W3CDTF">2021-10-07T16:09:00Z</dcterms:created>
  <dcterms:modified xsi:type="dcterms:W3CDTF">2021-10-07T16:09:00Z</dcterms:modified>
</cp:coreProperties>
</file>