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E0BB" w14:textId="77777777" w:rsidR="00B76A8A" w:rsidRPr="00F111A0" w:rsidRDefault="00972F4D"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s</w:t>
      </w:r>
      <w:r w:rsidRPr="00814C96">
        <w:rPr>
          <w:rFonts w:asciiTheme="majorHAnsi" w:hAnsiTheme="majorHAnsi" w:cs="Times New Roman"/>
          <w:i/>
          <w:sz w:val="28"/>
          <w:szCs w:val="24"/>
        </w:rPr>
        <w:t>tocks rallied in May, sparked by a supportive Federal Reserve, stories of states re-opening, and reported progress on a COVID-19 vaccine</w:t>
      </w:r>
      <w:r w:rsidRPr="00B60BB5">
        <w:rPr>
          <w:rFonts w:asciiTheme="majorHAnsi" w:hAnsiTheme="majorHAnsi" w:cs="Times New Roman"/>
          <w:i/>
          <w:sz w:val="28"/>
          <w:szCs w:val="24"/>
        </w:rPr>
        <w:t>.</w:t>
      </w:r>
    </w:p>
    <w:p w14:paraId="6DF82911" w14:textId="77777777" w:rsidR="00F82321" w:rsidRPr="00A56786" w:rsidRDefault="00972F4D"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644C67C9" w14:textId="77777777" w:rsidR="00B2579B" w:rsidRDefault="00972F4D"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6FEB8F2B" wp14:editId="3AE05BFC">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2367889" w14:textId="77777777" w:rsidR="00A56786" w:rsidRPr="00DD38C0" w:rsidRDefault="00972F4D" w:rsidP="00EE6BF2">
      <w:pPr>
        <w:spacing w:before="160" w:line="276" w:lineRule="auto"/>
        <w:jc w:val="center"/>
        <w:rPr>
          <w:rFonts w:asciiTheme="majorHAnsi" w:hAnsiTheme="majorHAnsi" w:cs="Times New Roman"/>
          <w:color w:val="808080" w:themeColor="background1" w:themeShade="80"/>
          <w:sz w:val="2"/>
          <w:szCs w:val="24"/>
        </w:rPr>
      </w:pPr>
    </w:p>
    <w:p w14:paraId="5EBB1CE6" w14:textId="77777777" w:rsidR="00F82321" w:rsidRPr="001D1391" w:rsidRDefault="00972F4D"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Pr="00DD38C0">
        <w:rPr>
          <w:rFonts w:asciiTheme="majorHAnsi" w:hAnsiTheme="majorHAnsi" w:cs="Times New Roman"/>
          <w:i/>
          <w:color w:val="646464"/>
          <w:sz w:val="24"/>
          <w:szCs w:val="24"/>
        </w:rPr>
        <w:fldChar w:fldCharType="begin"/>
      </w:r>
      <w:r w:rsidRPr="00DD38C0">
        <w:rPr>
          <w:rFonts w:asciiTheme="majorHAnsi" w:hAnsiTheme="majorHAnsi" w:cs="Times New Roman"/>
          <w:i/>
          <w:color w:val="646464"/>
          <w:sz w:val="24"/>
          <w:szCs w:val="24"/>
        </w:rPr>
        <w:instrText xml:space="preserve"> MERGEFIELD  representativename  \* MERGEFORMAT </w:instrText>
      </w:r>
      <w:r w:rsidRPr="00DD38C0">
        <w:rPr>
          <w:rFonts w:asciiTheme="majorHAnsi" w:hAnsiTheme="majorHAnsi" w:cs="Times New Roman"/>
          <w:i/>
          <w:color w:val="646464"/>
          <w:sz w:val="24"/>
          <w:szCs w:val="24"/>
        </w:rPr>
        <w:fldChar w:fldCharType="separate"/>
      </w:r>
      <w:r w:rsidRPr="00DD38C0">
        <w:rPr>
          <w:rFonts w:asciiTheme="majorHAnsi" w:hAnsiTheme="majorHAnsi" w:cs="Times New Roman"/>
          <w:i/>
          <w:noProof/>
          <w:color w:val="646464"/>
          <w:sz w:val="24"/>
          <w:szCs w:val="24"/>
        </w:rPr>
        <w:t>«RepresentativeName»</w:t>
      </w:r>
      <w:r w:rsidRPr="00DD38C0">
        <w:rPr>
          <w:rFonts w:asciiTheme="majorHAnsi" w:hAnsiTheme="majorHAnsi" w:cs="Times New Roman"/>
          <w:i/>
          <w:color w:val="646464"/>
          <w:sz w:val="24"/>
          <w:szCs w:val="24"/>
        </w:rPr>
        <w:fldChar w:fldCharType="end"/>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June</w:t>
      </w:r>
      <w:r w:rsidRPr="00B60BB5">
        <w:rPr>
          <w:rFonts w:asciiTheme="majorHAnsi" w:hAnsiTheme="majorHAnsi" w:cs="Times New Roman"/>
          <w:i/>
          <w:color w:val="646464"/>
          <w:sz w:val="24"/>
          <w:szCs w:val="24"/>
        </w:rPr>
        <w:t xml:space="preserve"> 2020</w:t>
      </w:r>
    </w:p>
    <w:p w14:paraId="4B508A6E" w14:textId="77777777" w:rsidR="002544C5" w:rsidRPr="00DD38C0" w:rsidRDefault="00972F4D" w:rsidP="00EE6BF2">
      <w:pPr>
        <w:spacing w:before="160" w:line="276" w:lineRule="auto"/>
        <w:jc w:val="center"/>
        <w:rPr>
          <w:rFonts w:asciiTheme="majorHAnsi" w:hAnsiTheme="majorHAnsi" w:cs="Times New Roman"/>
          <w:color w:val="000000" w:themeColor="text1"/>
          <w:sz w:val="4"/>
          <w:szCs w:val="24"/>
        </w:rPr>
      </w:pPr>
    </w:p>
    <w:p w14:paraId="6BDB86DC" w14:textId="77777777" w:rsidR="00775662" w:rsidRDefault="00972F4D" w:rsidP="00EE6BF2">
      <w:pPr>
        <w:spacing w:line="276" w:lineRule="auto"/>
        <w:rPr>
          <w:rFonts w:asciiTheme="majorHAnsi" w:hAnsiTheme="majorHAnsi"/>
          <w:b/>
          <w:color w:val="3E7BB6"/>
          <w:sz w:val="28"/>
          <w:szCs w:val="24"/>
        </w:rPr>
      </w:pPr>
      <w:r w:rsidRPr="00AF2FAA">
        <w:rPr>
          <w:rFonts w:asciiTheme="majorHAnsi" w:hAnsiTheme="majorHAnsi"/>
          <w:b/>
          <w:color w:val="3E7BB6"/>
          <w:sz w:val="28"/>
          <w:szCs w:val="24"/>
        </w:rPr>
        <w:t>U.S. Markets</w:t>
      </w:r>
    </w:p>
    <w:p w14:paraId="5FD18B26" w14:textId="77777777" w:rsidR="00814C96" w:rsidRPr="00814C96" w:rsidRDefault="00972F4D" w:rsidP="00814C96">
      <w:pPr>
        <w:spacing w:line="276" w:lineRule="auto"/>
        <w:jc w:val="both"/>
        <w:rPr>
          <w:rFonts w:asciiTheme="majorHAnsi" w:hAnsiTheme="majorHAnsi" w:cstheme="majorHAnsi"/>
          <w:sz w:val="24"/>
          <w:szCs w:val="24"/>
        </w:rPr>
      </w:pPr>
      <w:r w:rsidRPr="00814C96">
        <w:rPr>
          <w:rFonts w:asciiTheme="majorHAnsi" w:hAnsiTheme="majorHAnsi" w:cstheme="majorHAnsi"/>
          <w:sz w:val="24"/>
          <w:szCs w:val="24"/>
        </w:rPr>
        <w:t>Stocks rallied in May, sparked by a supportive Federal Reserve, stories of states re-opening, and reported progress on a COVID-19 vaccine.</w:t>
      </w:r>
    </w:p>
    <w:p w14:paraId="04D419EF" w14:textId="77777777" w:rsidR="00775662" w:rsidRPr="0047025A" w:rsidRDefault="00972F4D" w:rsidP="00814C96">
      <w:pPr>
        <w:spacing w:line="276" w:lineRule="auto"/>
        <w:jc w:val="both"/>
        <w:rPr>
          <w:rFonts w:asciiTheme="majorHAnsi" w:hAnsiTheme="majorHAnsi"/>
          <w:color w:val="002060"/>
          <w:sz w:val="24"/>
          <w:szCs w:val="24"/>
        </w:rPr>
      </w:pPr>
      <w:r w:rsidRPr="00814C96">
        <w:rPr>
          <w:rFonts w:asciiTheme="majorHAnsi" w:hAnsiTheme="majorHAnsi" w:cstheme="majorHAnsi"/>
          <w:sz w:val="24"/>
          <w:szCs w:val="24"/>
        </w:rPr>
        <w:t xml:space="preserve">The Dow Jones </w:t>
      </w:r>
      <w:r w:rsidRPr="00814C96">
        <w:rPr>
          <w:rFonts w:asciiTheme="majorHAnsi" w:hAnsiTheme="majorHAnsi" w:cstheme="majorHAnsi"/>
          <w:sz w:val="24"/>
          <w:szCs w:val="24"/>
        </w:rPr>
        <w:t>Industrial Average rose 4.2</w:t>
      </w:r>
      <w:r>
        <w:rPr>
          <w:rFonts w:asciiTheme="majorHAnsi" w:hAnsiTheme="majorHAnsi" w:cstheme="majorHAnsi"/>
          <w:sz w:val="24"/>
          <w:szCs w:val="24"/>
        </w:rPr>
        <w:t>%</w:t>
      </w:r>
      <w:r w:rsidRPr="00814C96">
        <w:rPr>
          <w:rFonts w:asciiTheme="majorHAnsi" w:hAnsiTheme="majorHAnsi" w:cstheme="majorHAnsi"/>
          <w:sz w:val="24"/>
          <w:szCs w:val="24"/>
        </w:rPr>
        <w:t>, while the Standard &amp; Poor’s 500 Index picked up 4.5</w:t>
      </w:r>
      <w:r>
        <w:rPr>
          <w:rFonts w:asciiTheme="majorHAnsi" w:hAnsiTheme="majorHAnsi" w:cstheme="majorHAnsi"/>
          <w:sz w:val="24"/>
          <w:szCs w:val="24"/>
        </w:rPr>
        <w:t>%</w:t>
      </w:r>
      <w:r w:rsidRPr="00814C96">
        <w:rPr>
          <w:rFonts w:asciiTheme="majorHAnsi" w:hAnsiTheme="majorHAnsi" w:cstheme="majorHAnsi"/>
          <w:sz w:val="24"/>
          <w:szCs w:val="24"/>
        </w:rPr>
        <w:t>. The NASDAQ Composite led, gaining 6.7</w:t>
      </w:r>
      <w:r>
        <w:rPr>
          <w:rFonts w:asciiTheme="majorHAnsi" w:hAnsiTheme="majorHAnsi" w:cstheme="majorHAnsi"/>
          <w:sz w:val="24"/>
          <w:szCs w:val="24"/>
        </w:rPr>
        <w:t>%</w:t>
      </w:r>
      <w:r w:rsidRPr="00814C96">
        <w:rPr>
          <w:rFonts w:asciiTheme="majorHAnsi" w:hAnsiTheme="majorHAnsi" w:cstheme="majorHAnsi"/>
          <w:sz w:val="24"/>
          <w:szCs w:val="24"/>
        </w:rPr>
        <w:t>.</w:t>
      </w:r>
      <w:r w:rsidRPr="00814C96">
        <w:rPr>
          <w:rFonts w:asciiTheme="majorHAnsi" w:hAnsiTheme="majorHAnsi" w:cstheme="majorHAnsi"/>
          <w:sz w:val="24"/>
          <w:szCs w:val="24"/>
          <w:vertAlign w:val="superscript"/>
        </w:rPr>
        <w:t>1</w:t>
      </w:r>
    </w:p>
    <w:p w14:paraId="57F3933B" w14:textId="77777777" w:rsidR="00775662" w:rsidRPr="00DD38C0" w:rsidRDefault="00972F4D" w:rsidP="00EE6BF2">
      <w:pPr>
        <w:spacing w:line="276" w:lineRule="auto"/>
        <w:rPr>
          <w:rFonts w:asciiTheme="majorHAnsi" w:hAnsiTheme="majorHAnsi"/>
          <w:sz w:val="6"/>
          <w:szCs w:val="24"/>
        </w:rPr>
      </w:pPr>
    </w:p>
    <w:p w14:paraId="36641B1F" w14:textId="77777777" w:rsidR="00775662" w:rsidRDefault="00972F4D" w:rsidP="00EE6BF2">
      <w:pPr>
        <w:spacing w:line="276" w:lineRule="auto"/>
        <w:rPr>
          <w:rFonts w:asciiTheme="majorHAnsi" w:hAnsiTheme="majorHAnsi"/>
          <w:b/>
          <w:color w:val="3E7BB6"/>
          <w:sz w:val="28"/>
          <w:szCs w:val="24"/>
        </w:rPr>
      </w:pPr>
      <w:r w:rsidRPr="00814C96">
        <w:rPr>
          <w:rFonts w:asciiTheme="majorHAnsi" w:hAnsiTheme="majorHAnsi"/>
          <w:b/>
          <w:color w:val="3E7BB6"/>
          <w:sz w:val="28"/>
          <w:szCs w:val="24"/>
        </w:rPr>
        <w:t>Shift in Focus</w:t>
      </w:r>
      <w:r w:rsidRPr="00775662">
        <w:rPr>
          <w:rFonts w:asciiTheme="majorHAnsi" w:hAnsiTheme="majorHAnsi"/>
          <w:b/>
          <w:color w:val="3E7BB6"/>
          <w:sz w:val="28"/>
          <w:szCs w:val="24"/>
        </w:rPr>
        <w:t xml:space="preserve"> </w:t>
      </w:r>
    </w:p>
    <w:p w14:paraId="39714230" w14:textId="77777777" w:rsidR="00814C96" w:rsidRPr="00814C96" w:rsidRDefault="00972F4D" w:rsidP="00814C96">
      <w:pPr>
        <w:spacing w:line="276" w:lineRule="auto"/>
        <w:jc w:val="both"/>
        <w:rPr>
          <w:rStyle w:val="st"/>
          <w:rFonts w:asciiTheme="majorHAnsi" w:hAnsiTheme="majorHAnsi" w:cstheme="majorHAnsi"/>
          <w:sz w:val="24"/>
          <w:szCs w:val="24"/>
        </w:rPr>
      </w:pPr>
      <w:r w:rsidRPr="00814C96">
        <w:rPr>
          <w:rStyle w:val="st"/>
          <w:rFonts w:asciiTheme="majorHAnsi" w:hAnsiTheme="majorHAnsi" w:cstheme="majorHAnsi"/>
          <w:sz w:val="24"/>
          <w:szCs w:val="24"/>
        </w:rPr>
        <w:t>April’s positive momentum continued into May, as stocks registered healthy gains, and investors looked to future e</w:t>
      </w:r>
      <w:r w:rsidRPr="00814C96">
        <w:rPr>
          <w:rStyle w:val="st"/>
          <w:rFonts w:asciiTheme="majorHAnsi" w:hAnsiTheme="majorHAnsi" w:cstheme="majorHAnsi"/>
          <w:sz w:val="24"/>
          <w:szCs w:val="24"/>
        </w:rPr>
        <w:t xml:space="preserve">conomic hopes rather than current woes. </w:t>
      </w:r>
    </w:p>
    <w:p w14:paraId="490501AE" w14:textId="77777777" w:rsidR="00F26D5E" w:rsidRPr="00896375" w:rsidRDefault="00972F4D" w:rsidP="00814C96">
      <w:pPr>
        <w:spacing w:line="276" w:lineRule="auto"/>
        <w:jc w:val="both"/>
        <w:rPr>
          <w:rStyle w:val="st"/>
          <w:rFonts w:asciiTheme="majorHAnsi" w:hAnsiTheme="majorHAnsi"/>
          <w:sz w:val="24"/>
          <w:szCs w:val="24"/>
        </w:rPr>
      </w:pPr>
      <w:r w:rsidRPr="00814C96">
        <w:rPr>
          <w:rStyle w:val="st"/>
          <w:rFonts w:asciiTheme="majorHAnsi" w:hAnsiTheme="majorHAnsi" w:cstheme="majorHAnsi"/>
          <w:sz w:val="24"/>
          <w:szCs w:val="24"/>
        </w:rPr>
        <w:t>Further aiding stocks was a better-than-expected jobs report and firming oil prices. Many investors breathed a sigh of relief on th</w:t>
      </w:r>
      <w:r>
        <w:rPr>
          <w:rStyle w:val="st"/>
          <w:rFonts w:asciiTheme="majorHAnsi" w:hAnsiTheme="majorHAnsi" w:cstheme="majorHAnsi"/>
          <w:sz w:val="24"/>
          <w:szCs w:val="24"/>
        </w:rPr>
        <w:t xml:space="preserve">e </w:t>
      </w:r>
      <w:r w:rsidRPr="00814C96">
        <w:rPr>
          <w:rStyle w:val="st"/>
          <w:rFonts w:asciiTheme="majorHAnsi" w:hAnsiTheme="majorHAnsi" w:cstheme="majorHAnsi"/>
          <w:sz w:val="24"/>
          <w:szCs w:val="24"/>
        </w:rPr>
        <w:t>news that U.S. and Chinese negotiators were planning to meet, despite the rising t</w:t>
      </w:r>
      <w:r w:rsidRPr="00814C96">
        <w:rPr>
          <w:rStyle w:val="st"/>
          <w:rFonts w:asciiTheme="majorHAnsi" w:hAnsiTheme="majorHAnsi" w:cstheme="majorHAnsi"/>
          <w:sz w:val="24"/>
          <w:szCs w:val="24"/>
        </w:rPr>
        <w:t>ensions between the two nations</w:t>
      </w:r>
      <w:r>
        <w:rPr>
          <w:rStyle w:val="st"/>
          <w:rFonts w:asciiTheme="majorHAnsi" w:hAnsiTheme="majorHAnsi"/>
          <w:sz w:val="24"/>
          <w:szCs w:val="24"/>
        </w:rPr>
        <w:t>.</w:t>
      </w:r>
    </w:p>
    <w:p w14:paraId="601E4CAC" w14:textId="77777777" w:rsidR="003F06AB" w:rsidRPr="00DD38C0" w:rsidRDefault="00972F4D" w:rsidP="003F06AB">
      <w:pPr>
        <w:spacing w:line="276" w:lineRule="auto"/>
        <w:jc w:val="both"/>
        <w:rPr>
          <w:rFonts w:asciiTheme="majorHAnsi" w:hAnsiTheme="majorHAnsi"/>
          <w:sz w:val="6"/>
          <w:szCs w:val="24"/>
        </w:rPr>
      </w:pPr>
    </w:p>
    <w:p w14:paraId="057041DF" w14:textId="77777777" w:rsidR="00AF2FAA" w:rsidRDefault="00972F4D" w:rsidP="00A4481D">
      <w:pPr>
        <w:spacing w:line="276" w:lineRule="auto"/>
        <w:jc w:val="both"/>
        <w:rPr>
          <w:rFonts w:asciiTheme="majorHAnsi" w:hAnsiTheme="majorHAnsi"/>
          <w:b/>
          <w:color w:val="3E7BB6"/>
          <w:sz w:val="28"/>
          <w:szCs w:val="24"/>
        </w:rPr>
      </w:pPr>
      <w:r w:rsidRPr="00814C96">
        <w:rPr>
          <w:rFonts w:asciiTheme="majorHAnsi" w:hAnsiTheme="majorHAnsi"/>
          <w:b/>
          <w:color w:val="3E7BB6"/>
          <w:sz w:val="28"/>
          <w:szCs w:val="24"/>
        </w:rPr>
        <w:t>Fed’s Commitment</w:t>
      </w:r>
      <w:r w:rsidRPr="00AF2FAA">
        <w:rPr>
          <w:rFonts w:asciiTheme="majorHAnsi" w:hAnsiTheme="majorHAnsi"/>
          <w:b/>
          <w:color w:val="3E7BB6"/>
          <w:sz w:val="28"/>
          <w:szCs w:val="24"/>
        </w:rPr>
        <w:t xml:space="preserve"> </w:t>
      </w:r>
    </w:p>
    <w:p w14:paraId="3E9BC441" w14:textId="77777777" w:rsidR="00814C96" w:rsidRPr="00814C96" w:rsidRDefault="00972F4D" w:rsidP="00814C96">
      <w:pPr>
        <w:spacing w:line="276" w:lineRule="auto"/>
        <w:jc w:val="both"/>
        <w:rPr>
          <w:rFonts w:asciiTheme="majorHAnsi" w:hAnsiTheme="majorHAnsi"/>
          <w:sz w:val="24"/>
          <w:szCs w:val="24"/>
        </w:rPr>
      </w:pPr>
      <w:r w:rsidRPr="00814C96">
        <w:rPr>
          <w:rFonts w:asciiTheme="majorHAnsi" w:hAnsiTheme="majorHAnsi"/>
          <w:sz w:val="24"/>
          <w:szCs w:val="24"/>
        </w:rPr>
        <w:t xml:space="preserve">Stocks rallied, as hopes for a COVID-19 vaccine rose, and the Federal Reserve restated its commitment to do whatever would be necessary to support an economic recovery. </w:t>
      </w:r>
    </w:p>
    <w:p w14:paraId="78C4CCF3" w14:textId="77777777" w:rsidR="00775662" w:rsidRPr="00DD38C0" w:rsidRDefault="00972F4D" w:rsidP="00814C96">
      <w:pPr>
        <w:spacing w:line="276" w:lineRule="auto"/>
        <w:jc w:val="both"/>
        <w:rPr>
          <w:rFonts w:asciiTheme="majorHAnsi" w:hAnsiTheme="majorHAnsi"/>
          <w:sz w:val="6"/>
          <w:szCs w:val="24"/>
        </w:rPr>
      </w:pPr>
      <w:r w:rsidRPr="00814C96">
        <w:rPr>
          <w:rFonts w:asciiTheme="majorHAnsi" w:hAnsiTheme="majorHAnsi"/>
          <w:sz w:val="24"/>
          <w:szCs w:val="24"/>
        </w:rPr>
        <w:t>Following Memorial Day weekend, stocks surged, once again, due to rising optimism over</w:t>
      </w:r>
      <w:r w:rsidRPr="00814C96">
        <w:rPr>
          <w:rFonts w:asciiTheme="majorHAnsi" w:hAnsiTheme="majorHAnsi"/>
          <w:sz w:val="24"/>
          <w:szCs w:val="24"/>
        </w:rPr>
        <w:t xml:space="preserve"> economic re-opening, reported declines in new COVID-19 cases, and further news surrounding the development of a potential vaccine</w:t>
      </w:r>
      <w:r w:rsidRPr="00521D57">
        <w:rPr>
          <w:rFonts w:asciiTheme="majorHAnsi" w:hAnsiTheme="majorHAnsi"/>
          <w:sz w:val="24"/>
          <w:szCs w:val="24"/>
        </w:rPr>
        <w:t>.</w:t>
      </w:r>
    </w:p>
    <w:p w14:paraId="30F7703A" w14:textId="77777777" w:rsidR="00B87E49" w:rsidRDefault="00972F4D" w:rsidP="00946B0D">
      <w:pPr>
        <w:pStyle w:val="PlainText"/>
        <w:spacing w:after="160" w:line="276" w:lineRule="auto"/>
        <w:jc w:val="both"/>
        <w:rPr>
          <w:rFonts w:asciiTheme="majorHAnsi" w:hAnsiTheme="majorHAnsi"/>
          <w:b/>
          <w:color w:val="3E7BB6"/>
          <w:sz w:val="28"/>
          <w:szCs w:val="24"/>
        </w:rPr>
      </w:pPr>
      <w:r w:rsidRPr="00AF2FAA">
        <w:rPr>
          <w:rFonts w:asciiTheme="majorHAnsi" w:hAnsiTheme="majorHAnsi"/>
          <w:b/>
          <w:color w:val="3E7BB6"/>
          <w:sz w:val="28"/>
          <w:szCs w:val="24"/>
        </w:rPr>
        <w:t>Sector Scorecard</w:t>
      </w:r>
    </w:p>
    <w:p w14:paraId="1F9934EB" w14:textId="77777777" w:rsidR="00E35A04" w:rsidRPr="00AF2FAA" w:rsidRDefault="00972F4D" w:rsidP="003A503A">
      <w:pPr>
        <w:pStyle w:val="PlainText"/>
        <w:spacing w:line="276" w:lineRule="auto"/>
        <w:jc w:val="both"/>
        <w:rPr>
          <w:rFonts w:asciiTheme="majorHAnsi" w:hAnsiTheme="majorHAnsi" w:cstheme="majorHAnsi"/>
          <w:sz w:val="24"/>
          <w:szCs w:val="24"/>
          <w:vertAlign w:val="superscript"/>
        </w:rPr>
      </w:pPr>
      <w:r w:rsidRPr="00814C96">
        <w:rPr>
          <w:rFonts w:asciiTheme="majorHAnsi" w:hAnsiTheme="majorHAnsi" w:cstheme="majorHAnsi"/>
          <w:sz w:val="24"/>
          <w:szCs w:val="24"/>
        </w:rPr>
        <w:t xml:space="preserve">The majority of industry sectors moved higher in May, with increases in Communication Services </w:t>
      </w:r>
      <w:r w:rsidRPr="00814C96">
        <w:rPr>
          <w:rFonts w:asciiTheme="majorHAnsi" w:hAnsiTheme="majorHAnsi" w:cstheme="majorHAnsi"/>
          <w:sz w:val="24"/>
          <w:szCs w:val="24"/>
        </w:rPr>
        <w:t>(+11.54</w:t>
      </w:r>
      <w:r>
        <w:rPr>
          <w:rFonts w:asciiTheme="majorHAnsi" w:hAnsiTheme="majorHAnsi" w:cstheme="majorHAnsi"/>
          <w:sz w:val="24"/>
          <w:szCs w:val="24"/>
        </w:rPr>
        <w:t>%</w:t>
      </w:r>
      <w:r w:rsidRPr="00814C96">
        <w:rPr>
          <w:rFonts w:asciiTheme="majorHAnsi" w:hAnsiTheme="majorHAnsi" w:cstheme="majorHAnsi"/>
          <w:sz w:val="24"/>
          <w:szCs w:val="24"/>
        </w:rPr>
        <w:t>), Consumer Discretionary (+7.79</w:t>
      </w:r>
      <w:r>
        <w:rPr>
          <w:rFonts w:asciiTheme="majorHAnsi" w:hAnsiTheme="majorHAnsi" w:cstheme="majorHAnsi"/>
          <w:sz w:val="24"/>
          <w:szCs w:val="24"/>
        </w:rPr>
        <w:t>%</w:t>
      </w:r>
      <w:r w:rsidRPr="00814C96">
        <w:rPr>
          <w:rFonts w:asciiTheme="majorHAnsi" w:hAnsiTheme="majorHAnsi" w:cstheme="majorHAnsi"/>
          <w:sz w:val="24"/>
          <w:szCs w:val="24"/>
        </w:rPr>
        <w:t>), Energy (+7.63</w:t>
      </w:r>
      <w:r>
        <w:rPr>
          <w:rFonts w:asciiTheme="majorHAnsi" w:hAnsiTheme="majorHAnsi" w:cstheme="majorHAnsi"/>
          <w:sz w:val="24"/>
          <w:szCs w:val="24"/>
        </w:rPr>
        <w:t>%</w:t>
      </w:r>
      <w:r w:rsidRPr="00814C96">
        <w:rPr>
          <w:rFonts w:asciiTheme="majorHAnsi" w:hAnsiTheme="majorHAnsi" w:cstheme="majorHAnsi"/>
          <w:sz w:val="24"/>
          <w:szCs w:val="24"/>
        </w:rPr>
        <w:t xml:space="preserve"> Financials (+4.23</w:t>
      </w:r>
      <w:r>
        <w:rPr>
          <w:rFonts w:asciiTheme="majorHAnsi" w:hAnsiTheme="majorHAnsi" w:cstheme="majorHAnsi"/>
          <w:sz w:val="24"/>
          <w:szCs w:val="24"/>
        </w:rPr>
        <w:t>%</w:t>
      </w:r>
      <w:r w:rsidRPr="00814C96">
        <w:rPr>
          <w:rFonts w:asciiTheme="majorHAnsi" w:hAnsiTheme="majorHAnsi" w:cstheme="majorHAnsi"/>
          <w:sz w:val="24"/>
          <w:szCs w:val="24"/>
        </w:rPr>
        <w:t xml:space="preserve">), Health Care </w:t>
      </w:r>
      <w:r w:rsidRPr="00814C96">
        <w:rPr>
          <w:rFonts w:asciiTheme="majorHAnsi" w:hAnsiTheme="majorHAnsi" w:cstheme="majorHAnsi"/>
          <w:sz w:val="24"/>
          <w:szCs w:val="24"/>
        </w:rPr>
        <w:lastRenderedPageBreak/>
        <w:t>(+2.</w:t>
      </w:r>
      <w:r>
        <w:rPr>
          <w:rFonts w:asciiTheme="majorHAnsi" w:hAnsiTheme="majorHAnsi" w:cstheme="majorHAnsi"/>
          <w:sz w:val="24"/>
          <w:szCs w:val="24"/>
        </w:rPr>
        <w:t>26%</w:t>
      </w:r>
      <w:r w:rsidRPr="00814C96">
        <w:rPr>
          <w:rFonts w:asciiTheme="majorHAnsi" w:hAnsiTheme="majorHAnsi" w:cstheme="majorHAnsi"/>
          <w:sz w:val="24"/>
          <w:szCs w:val="24"/>
        </w:rPr>
        <w:t>), Industrials (+5.</w:t>
      </w:r>
      <w:r>
        <w:rPr>
          <w:rFonts w:asciiTheme="majorHAnsi" w:hAnsiTheme="majorHAnsi" w:cstheme="majorHAnsi"/>
          <w:sz w:val="24"/>
          <w:szCs w:val="24"/>
        </w:rPr>
        <w:t>93%</w:t>
      </w:r>
      <w:r w:rsidRPr="00814C96">
        <w:rPr>
          <w:rFonts w:asciiTheme="majorHAnsi" w:hAnsiTheme="majorHAnsi" w:cstheme="majorHAnsi"/>
          <w:sz w:val="24"/>
          <w:szCs w:val="24"/>
        </w:rPr>
        <w:t>), Materials (+6.33</w:t>
      </w:r>
      <w:r>
        <w:rPr>
          <w:rFonts w:asciiTheme="majorHAnsi" w:hAnsiTheme="majorHAnsi" w:cstheme="majorHAnsi"/>
          <w:sz w:val="24"/>
          <w:szCs w:val="24"/>
        </w:rPr>
        <w:t>%</w:t>
      </w:r>
      <w:r w:rsidRPr="00814C96">
        <w:rPr>
          <w:rFonts w:asciiTheme="majorHAnsi" w:hAnsiTheme="majorHAnsi" w:cstheme="majorHAnsi"/>
          <w:sz w:val="24"/>
          <w:szCs w:val="24"/>
        </w:rPr>
        <w:t>), Real Estate (+2.29</w:t>
      </w:r>
      <w:r>
        <w:rPr>
          <w:rFonts w:asciiTheme="majorHAnsi" w:hAnsiTheme="majorHAnsi" w:cstheme="majorHAnsi"/>
          <w:sz w:val="24"/>
          <w:szCs w:val="24"/>
        </w:rPr>
        <w:t>%</w:t>
      </w:r>
      <w:r w:rsidRPr="00814C96">
        <w:rPr>
          <w:rFonts w:asciiTheme="majorHAnsi" w:hAnsiTheme="majorHAnsi" w:cstheme="majorHAnsi"/>
          <w:sz w:val="24"/>
          <w:szCs w:val="24"/>
        </w:rPr>
        <w:t>), Technology (+9.69</w:t>
      </w:r>
      <w:r>
        <w:rPr>
          <w:rFonts w:asciiTheme="majorHAnsi" w:hAnsiTheme="majorHAnsi" w:cstheme="majorHAnsi"/>
          <w:sz w:val="24"/>
          <w:szCs w:val="24"/>
        </w:rPr>
        <w:t>%</w:t>
      </w:r>
      <w:r w:rsidRPr="00814C96">
        <w:rPr>
          <w:rFonts w:asciiTheme="majorHAnsi" w:hAnsiTheme="majorHAnsi" w:cstheme="majorHAnsi"/>
          <w:sz w:val="24"/>
          <w:szCs w:val="24"/>
        </w:rPr>
        <w:t>), and Utilities (+0.</w:t>
      </w:r>
      <w:r>
        <w:rPr>
          <w:rFonts w:asciiTheme="majorHAnsi" w:hAnsiTheme="majorHAnsi" w:cstheme="majorHAnsi"/>
          <w:sz w:val="24"/>
          <w:szCs w:val="24"/>
        </w:rPr>
        <w:t>14%</w:t>
      </w:r>
      <w:r w:rsidRPr="00814C96">
        <w:rPr>
          <w:rFonts w:asciiTheme="majorHAnsi" w:hAnsiTheme="majorHAnsi" w:cstheme="majorHAnsi"/>
          <w:sz w:val="24"/>
          <w:szCs w:val="24"/>
        </w:rPr>
        <w:t xml:space="preserve">). Consumer Staples </w:t>
      </w:r>
      <w:r w:rsidRPr="00814C96">
        <w:rPr>
          <w:rFonts w:asciiTheme="majorHAnsi" w:hAnsiTheme="majorHAnsi" w:cstheme="majorHAnsi"/>
          <w:sz w:val="24"/>
          <w:szCs w:val="24"/>
        </w:rPr>
        <w:t>experienced</w:t>
      </w:r>
      <w:r>
        <w:rPr>
          <w:rFonts w:asciiTheme="majorHAnsi" w:hAnsiTheme="majorHAnsi" w:cstheme="majorHAnsi"/>
          <w:sz w:val="24"/>
          <w:szCs w:val="24"/>
        </w:rPr>
        <w:t xml:space="preserve"> a small loss</w:t>
      </w:r>
      <w:r w:rsidRPr="00814C96">
        <w:rPr>
          <w:rFonts w:asciiTheme="majorHAnsi" w:hAnsiTheme="majorHAnsi" w:cstheme="majorHAnsi"/>
          <w:sz w:val="24"/>
          <w:szCs w:val="24"/>
        </w:rPr>
        <w:t xml:space="preserve"> </w:t>
      </w:r>
      <w:r w:rsidRPr="00814C96">
        <w:rPr>
          <w:rFonts w:asciiTheme="majorHAnsi" w:hAnsiTheme="majorHAnsi" w:cstheme="majorHAnsi"/>
          <w:sz w:val="24"/>
          <w:szCs w:val="24"/>
        </w:rPr>
        <w:t>(-0.</w:t>
      </w:r>
      <w:r>
        <w:rPr>
          <w:rFonts w:asciiTheme="majorHAnsi" w:hAnsiTheme="majorHAnsi" w:cstheme="majorHAnsi"/>
          <w:sz w:val="24"/>
          <w:szCs w:val="24"/>
        </w:rPr>
        <w:t>07%</w:t>
      </w:r>
      <w:r w:rsidRPr="00814C96">
        <w:rPr>
          <w:rFonts w:asciiTheme="majorHAnsi" w:hAnsiTheme="majorHAnsi" w:cstheme="majorHAnsi"/>
          <w:sz w:val="24"/>
          <w:szCs w:val="24"/>
        </w:rPr>
        <w:t>).</w:t>
      </w:r>
      <w:r>
        <w:rPr>
          <w:rFonts w:asciiTheme="majorHAnsi" w:hAnsiTheme="majorHAnsi" w:cstheme="majorHAnsi"/>
          <w:sz w:val="24"/>
          <w:szCs w:val="24"/>
          <w:vertAlign w:val="superscript"/>
        </w:rPr>
        <w:t>2</w:t>
      </w:r>
    </w:p>
    <w:p w14:paraId="538FD8A9" w14:textId="77777777" w:rsidR="00C22332" w:rsidRPr="00DD38C0" w:rsidRDefault="00972F4D" w:rsidP="00C22332">
      <w:pPr>
        <w:spacing w:line="276" w:lineRule="auto"/>
        <w:jc w:val="both"/>
        <w:rPr>
          <w:rFonts w:asciiTheme="majorHAnsi" w:hAnsiTheme="majorHAnsi"/>
          <w:sz w:val="6"/>
          <w:szCs w:val="24"/>
        </w:rPr>
      </w:pPr>
    </w:p>
    <w:p w14:paraId="5077BB90" w14:textId="77777777" w:rsidR="00DD38C0" w:rsidRPr="00775662" w:rsidRDefault="00972F4D" w:rsidP="00946B0D">
      <w:pPr>
        <w:spacing w:line="276" w:lineRule="auto"/>
        <w:jc w:val="both"/>
        <w:rPr>
          <w:rFonts w:asciiTheme="majorHAnsi" w:hAnsiTheme="majorHAnsi"/>
          <w:b/>
          <w:color w:val="3E7BB6"/>
          <w:sz w:val="28"/>
          <w:szCs w:val="24"/>
        </w:rPr>
      </w:pPr>
      <w:r w:rsidRPr="00AF2FAA">
        <w:rPr>
          <w:rFonts w:asciiTheme="majorHAnsi" w:hAnsiTheme="majorHAnsi"/>
          <w:b/>
          <w:color w:val="3E7BB6"/>
          <w:sz w:val="28"/>
          <w:szCs w:val="24"/>
        </w:rPr>
        <w:t xml:space="preserve">What Investors May Be Talking About in </w:t>
      </w:r>
      <w:r>
        <w:rPr>
          <w:rFonts w:asciiTheme="majorHAnsi" w:hAnsiTheme="majorHAnsi"/>
          <w:b/>
          <w:color w:val="3E7BB6"/>
          <w:sz w:val="28"/>
          <w:szCs w:val="24"/>
        </w:rPr>
        <w:t>June</w:t>
      </w:r>
    </w:p>
    <w:p w14:paraId="1C6359EF" w14:textId="77777777" w:rsidR="001B3C06" w:rsidRPr="00253458" w:rsidRDefault="00972F4D" w:rsidP="00923CB9">
      <w:pPr>
        <w:pStyle w:val="PlainText"/>
        <w:spacing w:line="276" w:lineRule="auto"/>
        <w:jc w:val="both"/>
        <w:rPr>
          <w:rStyle w:val="st"/>
          <w:rFonts w:asciiTheme="majorHAnsi" w:hAnsiTheme="majorHAnsi" w:cstheme="majorHAnsi"/>
          <w:sz w:val="24"/>
          <w:szCs w:val="24"/>
          <w:vertAlign w:val="superscript"/>
        </w:rPr>
      </w:pPr>
      <w:r w:rsidRPr="00814C96">
        <w:rPr>
          <w:rStyle w:val="st"/>
          <w:rFonts w:asciiTheme="majorHAnsi" w:hAnsiTheme="majorHAnsi"/>
          <w:sz w:val="24"/>
          <w:szCs w:val="24"/>
        </w:rPr>
        <w:t xml:space="preserve">In some sense, many investors believe a sustained and complete economic recovery may rest </w:t>
      </w:r>
      <w:r>
        <w:rPr>
          <w:rStyle w:val="st"/>
          <w:rFonts w:asciiTheme="majorHAnsi" w:hAnsiTheme="majorHAnsi"/>
          <w:sz w:val="24"/>
          <w:szCs w:val="24"/>
        </w:rPr>
        <w:t>up</w:t>
      </w:r>
      <w:r w:rsidRPr="00814C96">
        <w:rPr>
          <w:rStyle w:val="st"/>
          <w:rFonts w:asciiTheme="majorHAnsi" w:hAnsiTheme="majorHAnsi"/>
          <w:sz w:val="24"/>
          <w:szCs w:val="24"/>
        </w:rPr>
        <w:t>on developing a vaccine for COVID-19</w:t>
      </w:r>
      <w:r w:rsidRPr="00253458">
        <w:rPr>
          <w:rFonts w:asciiTheme="majorHAnsi" w:hAnsiTheme="majorHAnsi" w:cstheme="majorHAnsi"/>
          <w:sz w:val="24"/>
          <w:szCs w:val="24"/>
        </w:rPr>
        <w:t>.</w:t>
      </w:r>
    </w:p>
    <w:p w14:paraId="2A7DD867" w14:textId="77777777" w:rsidR="00A4481D" w:rsidRPr="00DD38C0" w:rsidRDefault="00972F4D" w:rsidP="00A4481D">
      <w:pPr>
        <w:spacing w:line="276" w:lineRule="auto"/>
        <w:jc w:val="both"/>
        <w:rPr>
          <w:rFonts w:asciiTheme="majorHAnsi" w:hAnsiTheme="majorHAnsi"/>
          <w:sz w:val="6"/>
          <w:szCs w:val="24"/>
        </w:rPr>
      </w:pPr>
    </w:p>
    <w:p w14:paraId="38E3B232" w14:textId="77777777" w:rsidR="002405DE" w:rsidRPr="00775662" w:rsidRDefault="00972F4D" w:rsidP="002405DE">
      <w:pPr>
        <w:spacing w:line="276" w:lineRule="auto"/>
        <w:jc w:val="both"/>
        <w:rPr>
          <w:rFonts w:asciiTheme="majorHAnsi" w:hAnsiTheme="majorHAnsi"/>
          <w:b/>
          <w:color w:val="3E7BB6"/>
          <w:sz w:val="28"/>
          <w:szCs w:val="24"/>
        </w:rPr>
      </w:pPr>
      <w:r w:rsidRPr="00814C96">
        <w:rPr>
          <w:rFonts w:asciiTheme="majorHAnsi" w:hAnsiTheme="majorHAnsi"/>
          <w:b/>
          <w:color w:val="3E7BB6"/>
          <w:sz w:val="28"/>
          <w:szCs w:val="24"/>
        </w:rPr>
        <w:t>Vaccine Watch</w:t>
      </w:r>
    </w:p>
    <w:p w14:paraId="12380CA5" w14:textId="77777777" w:rsidR="00814C96" w:rsidRPr="00814C96" w:rsidRDefault="00972F4D" w:rsidP="00814C96">
      <w:pPr>
        <w:spacing w:line="276" w:lineRule="auto"/>
        <w:jc w:val="both"/>
        <w:rPr>
          <w:rStyle w:val="st"/>
          <w:rFonts w:asciiTheme="majorHAnsi" w:eastAsia="Calibri" w:hAnsiTheme="majorHAnsi" w:cs="Consolas"/>
          <w:sz w:val="24"/>
          <w:szCs w:val="24"/>
        </w:rPr>
      </w:pPr>
      <w:r w:rsidRPr="00814C96">
        <w:rPr>
          <w:rStyle w:val="st"/>
          <w:rFonts w:asciiTheme="majorHAnsi" w:eastAsia="Calibri" w:hAnsiTheme="majorHAnsi" w:cs="Consolas"/>
          <w:sz w:val="24"/>
          <w:szCs w:val="24"/>
        </w:rPr>
        <w:t xml:space="preserve">The World Health Organization </w:t>
      </w:r>
      <w:r w:rsidRPr="00814C96">
        <w:rPr>
          <w:rStyle w:val="st"/>
          <w:rFonts w:asciiTheme="majorHAnsi" w:eastAsia="Calibri" w:hAnsiTheme="majorHAnsi" w:cs="Consolas"/>
          <w:sz w:val="24"/>
          <w:szCs w:val="24"/>
        </w:rPr>
        <w:t>reports that there are more than 100 vaccine candidates, with 10 currently participating in clinical trials.</w:t>
      </w:r>
      <w:r w:rsidRPr="00814C96">
        <w:rPr>
          <w:rStyle w:val="st"/>
          <w:rFonts w:asciiTheme="majorHAnsi" w:eastAsia="Calibri" w:hAnsiTheme="majorHAnsi" w:cs="Consolas"/>
          <w:sz w:val="24"/>
          <w:szCs w:val="24"/>
          <w:vertAlign w:val="superscript"/>
        </w:rPr>
        <w:t>3</w:t>
      </w:r>
      <w:r w:rsidRPr="00814C96">
        <w:rPr>
          <w:rStyle w:val="st"/>
          <w:rFonts w:asciiTheme="majorHAnsi" w:eastAsia="Calibri" w:hAnsiTheme="majorHAnsi" w:cs="Consolas"/>
          <w:sz w:val="24"/>
          <w:szCs w:val="24"/>
        </w:rPr>
        <w:t xml:space="preserve"> </w:t>
      </w:r>
    </w:p>
    <w:p w14:paraId="0B49DFAD" w14:textId="77777777" w:rsidR="00814C96" w:rsidRPr="00814C96" w:rsidRDefault="00972F4D" w:rsidP="00814C96">
      <w:pPr>
        <w:spacing w:line="276" w:lineRule="auto"/>
        <w:jc w:val="both"/>
        <w:rPr>
          <w:rStyle w:val="st"/>
          <w:rFonts w:asciiTheme="majorHAnsi" w:eastAsia="Calibri" w:hAnsiTheme="majorHAnsi" w:cs="Consolas"/>
          <w:sz w:val="24"/>
          <w:szCs w:val="24"/>
          <w:vertAlign w:val="superscript"/>
        </w:rPr>
      </w:pPr>
      <w:r w:rsidRPr="00814C96">
        <w:rPr>
          <w:rStyle w:val="st"/>
          <w:rFonts w:asciiTheme="majorHAnsi" w:eastAsia="Calibri" w:hAnsiTheme="majorHAnsi" w:cs="Consolas"/>
          <w:sz w:val="24"/>
          <w:szCs w:val="24"/>
        </w:rPr>
        <w:t>Over the next couple months, results from several of these trials may be released.</w:t>
      </w:r>
      <w:r w:rsidRPr="00814C96">
        <w:rPr>
          <w:rStyle w:val="st"/>
          <w:rFonts w:asciiTheme="majorHAnsi" w:eastAsia="Calibri" w:hAnsiTheme="majorHAnsi" w:cs="Consolas"/>
          <w:sz w:val="24"/>
          <w:szCs w:val="24"/>
          <w:vertAlign w:val="superscript"/>
        </w:rPr>
        <w:t>4</w:t>
      </w:r>
      <w:r>
        <w:rPr>
          <w:rStyle w:val="st"/>
          <w:rFonts w:asciiTheme="majorHAnsi" w:eastAsia="Calibri" w:hAnsiTheme="majorHAnsi" w:cs="Consolas"/>
          <w:sz w:val="24"/>
          <w:szCs w:val="24"/>
          <w:vertAlign w:val="superscript"/>
        </w:rPr>
        <w:t>,5</w:t>
      </w:r>
      <w:r w:rsidRPr="00814C96">
        <w:rPr>
          <w:rStyle w:val="st"/>
          <w:rFonts w:asciiTheme="majorHAnsi" w:eastAsia="Calibri" w:hAnsiTheme="majorHAnsi" w:cs="Consolas"/>
          <w:sz w:val="24"/>
          <w:szCs w:val="24"/>
          <w:vertAlign w:val="superscript"/>
        </w:rPr>
        <w:t xml:space="preserve"> </w:t>
      </w:r>
    </w:p>
    <w:p w14:paraId="2C169922" w14:textId="77777777" w:rsidR="000E566E" w:rsidRPr="008059E3" w:rsidRDefault="00972F4D" w:rsidP="00814C96">
      <w:pPr>
        <w:spacing w:line="276" w:lineRule="auto"/>
        <w:jc w:val="both"/>
        <w:rPr>
          <w:rStyle w:val="st"/>
          <w:rFonts w:asciiTheme="majorHAnsi" w:hAnsiTheme="majorHAnsi"/>
          <w:sz w:val="24"/>
          <w:szCs w:val="24"/>
        </w:rPr>
      </w:pPr>
      <w:r w:rsidRPr="00814C96">
        <w:rPr>
          <w:rStyle w:val="st"/>
          <w:rFonts w:asciiTheme="majorHAnsi" w:eastAsia="Calibri" w:hAnsiTheme="majorHAnsi" w:cs="Consolas"/>
          <w:sz w:val="24"/>
          <w:szCs w:val="24"/>
        </w:rPr>
        <w:t xml:space="preserve">Depending on the results, the trials could provide the </w:t>
      </w:r>
      <w:r w:rsidRPr="00814C96">
        <w:rPr>
          <w:rStyle w:val="st"/>
          <w:rFonts w:asciiTheme="majorHAnsi" w:eastAsia="Calibri" w:hAnsiTheme="majorHAnsi" w:cs="Consolas"/>
          <w:sz w:val="24"/>
          <w:szCs w:val="24"/>
        </w:rPr>
        <w:t>markets with a sense of optimism. If they prove disappointing, investors may dread the prospect of a prolonged economic recovery. Either way, many investors are cautiously monitoring the situation for further developments</w:t>
      </w:r>
      <w:r w:rsidRPr="00FD6F01">
        <w:rPr>
          <w:rStyle w:val="st"/>
          <w:rFonts w:asciiTheme="majorHAnsi" w:hAnsiTheme="majorHAnsi"/>
          <w:sz w:val="24"/>
          <w:szCs w:val="24"/>
        </w:rPr>
        <w:t>.</w:t>
      </w:r>
    </w:p>
    <w:p w14:paraId="79FD8A69" w14:textId="77777777" w:rsidR="00E24345" w:rsidRPr="00DD38C0" w:rsidRDefault="00972F4D" w:rsidP="00EE6BF2">
      <w:pPr>
        <w:spacing w:line="276" w:lineRule="auto"/>
        <w:rPr>
          <w:rStyle w:val="st"/>
          <w:rFonts w:asciiTheme="majorHAnsi" w:hAnsiTheme="majorHAnsi"/>
          <w:sz w:val="4"/>
        </w:rPr>
      </w:pPr>
    </w:p>
    <w:p w14:paraId="0EB3CEEA" w14:textId="77777777" w:rsidR="006D5A63" w:rsidRDefault="00972F4D"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C3593A9" wp14:editId="3E6E8E51">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315A8B9" w14:textId="77777777" w:rsidR="006D5A63" w:rsidRPr="00DD38C0" w:rsidRDefault="00972F4D" w:rsidP="00EE6BF2">
      <w:pPr>
        <w:spacing w:line="276" w:lineRule="auto"/>
        <w:jc w:val="center"/>
        <w:rPr>
          <w:rStyle w:val="st"/>
          <w:rFonts w:asciiTheme="majorHAnsi" w:hAnsiTheme="majorHAnsi"/>
          <w:color w:val="E88E0A"/>
          <w:sz w:val="4"/>
        </w:rPr>
      </w:pPr>
    </w:p>
    <w:p w14:paraId="10F68026" w14:textId="77777777" w:rsidR="006D5A63" w:rsidRPr="00DD38C0" w:rsidRDefault="00972F4D"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w:t>
      </w:r>
      <w:r w:rsidRPr="007C2813">
        <w:rPr>
          <w:rStyle w:val="st"/>
          <w:rFonts w:asciiTheme="majorHAnsi" w:hAnsiTheme="majorHAnsi"/>
          <w:color w:val="3E7BB6"/>
        </w:rPr>
        <w:t xml:space="preserve"> H</w:t>
      </w:r>
      <w:r>
        <w:rPr>
          <w:rStyle w:val="st"/>
          <w:rFonts w:asciiTheme="majorHAnsi" w:hAnsiTheme="majorHAnsi"/>
          <w:color w:val="E88E0A"/>
        </w:rPr>
        <w:br/>
      </w:r>
    </w:p>
    <w:p w14:paraId="5B9EFB75" w14:textId="77777777" w:rsidR="006D5A63" w:rsidRDefault="00972F4D"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32567DB0" wp14:editId="3B208E9F">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7D21A68B" w14:textId="77777777" w:rsidR="006D5A63" w:rsidRPr="0047025A" w:rsidRDefault="00972F4D"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814C96">
        <w:rPr>
          <w:rStyle w:val="st"/>
          <w:rFonts w:asciiTheme="majorHAnsi" w:hAnsiTheme="majorHAnsi"/>
          <w:i/>
          <w:sz w:val="28"/>
        </w:rPr>
        <w:t xml:space="preserve">Updating your will is as important as having one. If you drafted a will years </w:t>
      </w:r>
      <w:r>
        <w:rPr>
          <w:rStyle w:val="st"/>
          <w:rFonts w:asciiTheme="majorHAnsi" w:hAnsiTheme="majorHAnsi"/>
          <w:i/>
          <w:sz w:val="28"/>
        </w:rPr>
        <w:t>ago</w:t>
      </w:r>
      <w:r w:rsidRPr="00814C96">
        <w:rPr>
          <w:rStyle w:val="st"/>
          <w:rFonts w:asciiTheme="majorHAnsi" w:hAnsiTheme="majorHAnsi"/>
          <w:i/>
          <w:sz w:val="28"/>
        </w:rPr>
        <w:t>, it</w:t>
      </w:r>
      <w:r>
        <w:rPr>
          <w:rStyle w:val="st"/>
          <w:rFonts w:asciiTheme="majorHAnsi" w:hAnsiTheme="majorHAnsi"/>
          <w:i/>
          <w:sz w:val="28"/>
        </w:rPr>
        <w:t xml:space="preserve"> may</w:t>
      </w:r>
      <w:r w:rsidRPr="00814C96">
        <w:rPr>
          <w:rStyle w:val="st"/>
          <w:rFonts w:asciiTheme="majorHAnsi" w:hAnsiTheme="majorHAnsi"/>
          <w:i/>
          <w:sz w:val="28"/>
        </w:rPr>
        <w:t xml:space="preserve"> likely need some adjustments. Revisit your will often and keep it up to date</w:t>
      </w:r>
      <w:r w:rsidRPr="00B60BB5">
        <w:rPr>
          <w:rStyle w:val="st"/>
          <w:rFonts w:asciiTheme="majorHAnsi" w:hAnsiTheme="majorHAnsi"/>
          <w:i/>
          <w:sz w:val="28"/>
        </w:rPr>
        <w:t>.</w:t>
      </w:r>
    </w:p>
    <w:p w14:paraId="0EFF2A0B" w14:textId="77777777" w:rsidR="006D5A63" w:rsidRPr="00DD38C0" w:rsidRDefault="00972F4D" w:rsidP="00EE6BF2">
      <w:pPr>
        <w:spacing w:line="276" w:lineRule="auto"/>
        <w:jc w:val="center"/>
        <w:rPr>
          <w:rStyle w:val="st"/>
          <w:rFonts w:asciiTheme="majorHAnsi" w:hAnsiTheme="majorHAnsi"/>
          <w:i/>
          <w:color w:val="E88E0A"/>
          <w:sz w:val="4"/>
        </w:rPr>
      </w:pPr>
    </w:p>
    <w:p w14:paraId="6DFCB219" w14:textId="77777777" w:rsidR="00E24345" w:rsidRDefault="00972F4D"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B0C40C0" wp14:editId="501D0188">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12495B93" w14:textId="77777777" w:rsidR="00373CC8" w:rsidRPr="00DD38C0" w:rsidRDefault="00972F4D" w:rsidP="00EE6BF2">
      <w:pPr>
        <w:spacing w:line="276" w:lineRule="auto"/>
        <w:rPr>
          <w:rFonts w:asciiTheme="majorHAnsi" w:hAnsiTheme="majorHAnsi"/>
          <w:b/>
          <w:color w:val="E88E0A"/>
          <w:spacing w:val="-2"/>
          <w:sz w:val="8"/>
        </w:rPr>
      </w:pPr>
    </w:p>
    <w:p w14:paraId="234ADEDC" w14:textId="77777777" w:rsidR="00775662" w:rsidRPr="007A5A6C" w:rsidRDefault="00972F4D" w:rsidP="00EE6BF2">
      <w:pPr>
        <w:spacing w:line="276" w:lineRule="auto"/>
        <w:rPr>
          <w:rFonts w:asciiTheme="majorHAnsi" w:hAnsiTheme="majorHAnsi"/>
          <w:b/>
          <w:spacing w:val="-2"/>
          <w:sz w:val="28"/>
        </w:rPr>
      </w:pPr>
      <w:r w:rsidRPr="00AF2FAA">
        <w:rPr>
          <w:rFonts w:asciiTheme="majorHAnsi" w:hAnsiTheme="majorHAnsi"/>
          <w:b/>
          <w:color w:val="3E7BB6"/>
          <w:spacing w:val="-2"/>
          <w:sz w:val="28"/>
        </w:rPr>
        <w:t>World Markets</w:t>
      </w:r>
    </w:p>
    <w:p w14:paraId="0A546A34"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 xml:space="preserve">World markets posted solid gains on economic recovery </w:t>
      </w:r>
      <w:r w:rsidRPr="00B9351B">
        <w:rPr>
          <w:rStyle w:val="st"/>
          <w:rFonts w:asciiTheme="majorHAnsi" w:hAnsiTheme="majorHAnsi"/>
          <w:sz w:val="24"/>
        </w:rPr>
        <w:t>hopes, with the MSCI-EAFE Index rising 5.</w:t>
      </w:r>
      <w:r>
        <w:rPr>
          <w:rStyle w:val="st"/>
          <w:rFonts w:asciiTheme="majorHAnsi" w:hAnsiTheme="majorHAnsi"/>
          <w:sz w:val="24"/>
        </w:rPr>
        <w:t>15%</w:t>
      </w:r>
      <w:r w:rsidRPr="00B9351B">
        <w:rPr>
          <w:rStyle w:val="st"/>
          <w:rFonts w:asciiTheme="majorHAnsi" w:hAnsiTheme="majorHAnsi"/>
          <w:sz w:val="24"/>
        </w:rPr>
        <w:t>.</w:t>
      </w:r>
      <w:r w:rsidRPr="00B9351B">
        <w:rPr>
          <w:rStyle w:val="st"/>
          <w:rFonts w:asciiTheme="majorHAnsi" w:hAnsiTheme="majorHAnsi"/>
          <w:sz w:val="24"/>
          <w:vertAlign w:val="superscript"/>
        </w:rPr>
        <w:t>6</w:t>
      </w:r>
    </w:p>
    <w:p w14:paraId="637AFCEB"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European markets moved higher, with gains in France, Germany, and the Netherlands. The U.K. slipped 0.88</w:t>
      </w:r>
      <w:r>
        <w:rPr>
          <w:rStyle w:val="st"/>
          <w:rFonts w:asciiTheme="majorHAnsi" w:hAnsiTheme="majorHAnsi"/>
          <w:sz w:val="24"/>
        </w:rPr>
        <w:t>%</w:t>
      </w:r>
      <w:r w:rsidRPr="00B9351B">
        <w:rPr>
          <w:rStyle w:val="st"/>
          <w:rFonts w:asciiTheme="majorHAnsi" w:hAnsiTheme="majorHAnsi"/>
          <w:sz w:val="24"/>
        </w:rPr>
        <w:t>.</w:t>
      </w:r>
      <w:r w:rsidRPr="00B9351B">
        <w:rPr>
          <w:rStyle w:val="st"/>
          <w:rFonts w:asciiTheme="majorHAnsi" w:hAnsiTheme="majorHAnsi"/>
          <w:sz w:val="24"/>
          <w:vertAlign w:val="superscript"/>
        </w:rPr>
        <w:t>7</w:t>
      </w:r>
    </w:p>
    <w:p w14:paraId="0045ADC6" w14:textId="77777777" w:rsidR="00AF2FAA" w:rsidRDefault="00972F4D" w:rsidP="00B9351B">
      <w:pPr>
        <w:spacing w:line="276" w:lineRule="auto"/>
        <w:rPr>
          <w:rStyle w:val="st"/>
          <w:rFonts w:asciiTheme="majorHAnsi" w:hAnsiTheme="majorHAnsi"/>
          <w:sz w:val="24"/>
        </w:rPr>
      </w:pPr>
      <w:r w:rsidRPr="00B9351B">
        <w:rPr>
          <w:rStyle w:val="st"/>
          <w:rFonts w:asciiTheme="majorHAnsi" w:hAnsiTheme="majorHAnsi"/>
          <w:sz w:val="24"/>
        </w:rPr>
        <w:lastRenderedPageBreak/>
        <w:t>Pacific Rim stocks were mixed, with advances in Australia (+5.37</w:t>
      </w:r>
      <w:r>
        <w:rPr>
          <w:rStyle w:val="st"/>
          <w:rFonts w:asciiTheme="majorHAnsi" w:hAnsiTheme="majorHAnsi"/>
          <w:sz w:val="24"/>
        </w:rPr>
        <w:t>%</w:t>
      </w:r>
      <w:r w:rsidRPr="00B9351B">
        <w:rPr>
          <w:rStyle w:val="st"/>
          <w:rFonts w:asciiTheme="majorHAnsi" w:hAnsiTheme="majorHAnsi"/>
          <w:sz w:val="24"/>
        </w:rPr>
        <w:t>) and Japan (+8.34</w:t>
      </w:r>
      <w:r>
        <w:rPr>
          <w:rStyle w:val="st"/>
          <w:rFonts w:asciiTheme="majorHAnsi" w:hAnsiTheme="majorHAnsi"/>
          <w:sz w:val="24"/>
        </w:rPr>
        <w:t>%</w:t>
      </w:r>
      <w:r w:rsidRPr="00B9351B">
        <w:rPr>
          <w:rStyle w:val="st"/>
          <w:rFonts w:asciiTheme="majorHAnsi" w:hAnsiTheme="majorHAnsi"/>
          <w:sz w:val="24"/>
        </w:rPr>
        <w:t xml:space="preserve">). Hong Kong </w:t>
      </w:r>
      <w:r w:rsidRPr="00B9351B">
        <w:rPr>
          <w:rStyle w:val="st"/>
          <w:rFonts w:asciiTheme="majorHAnsi" w:hAnsiTheme="majorHAnsi"/>
          <w:sz w:val="24"/>
        </w:rPr>
        <w:t>dropped 6.83</w:t>
      </w:r>
      <w:r>
        <w:rPr>
          <w:rStyle w:val="st"/>
          <w:rFonts w:asciiTheme="majorHAnsi" w:hAnsiTheme="majorHAnsi"/>
          <w:sz w:val="24"/>
        </w:rPr>
        <w:t xml:space="preserve">% </w:t>
      </w:r>
      <w:r w:rsidRPr="00B9351B">
        <w:rPr>
          <w:rStyle w:val="st"/>
          <w:rFonts w:asciiTheme="majorHAnsi" w:hAnsiTheme="majorHAnsi"/>
          <w:sz w:val="24"/>
        </w:rPr>
        <w:t>due to China-related tensions. The volatile Merval Index, which tracks the largest companies based in Argentina, jumped 48.04</w:t>
      </w:r>
      <w:r>
        <w:rPr>
          <w:rStyle w:val="st"/>
          <w:rFonts w:asciiTheme="majorHAnsi" w:hAnsiTheme="majorHAnsi"/>
          <w:sz w:val="24"/>
        </w:rPr>
        <w:t>%</w:t>
      </w:r>
      <w:r w:rsidRPr="00B9351B">
        <w:rPr>
          <w:rStyle w:val="st"/>
          <w:rFonts w:asciiTheme="majorHAnsi" w:hAnsiTheme="majorHAnsi"/>
          <w:sz w:val="24"/>
        </w:rPr>
        <w:t>.</w:t>
      </w:r>
      <w:r w:rsidRPr="00B9351B">
        <w:rPr>
          <w:rStyle w:val="st"/>
          <w:rFonts w:asciiTheme="majorHAnsi" w:hAnsiTheme="majorHAnsi"/>
          <w:sz w:val="24"/>
          <w:vertAlign w:val="superscript"/>
        </w:rPr>
        <w:t>8</w:t>
      </w:r>
    </w:p>
    <w:p w14:paraId="0C2835B6" w14:textId="77777777" w:rsidR="00AF2FAA" w:rsidRPr="007A5A6C" w:rsidRDefault="00972F4D" w:rsidP="00AF2FAA">
      <w:pPr>
        <w:spacing w:line="276" w:lineRule="auto"/>
        <w:rPr>
          <w:rFonts w:asciiTheme="majorHAnsi" w:hAnsiTheme="majorHAnsi"/>
          <w:b/>
          <w:spacing w:val="-2"/>
          <w:sz w:val="28"/>
        </w:rPr>
      </w:pPr>
      <w:r w:rsidRPr="00AF2FAA">
        <w:rPr>
          <w:rFonts w:asciiTheme="majorHAnsi" w:hAnsiTheme="majorHAnsi"/>
          <w:b/>
          <w:color w:val="3E7BB6"/>
          <w:spacing w:val="-2"/>
          <w:sz w:val="28"/>
        </w:rPr>
        <w:t>Indicators</w:t>
      </w:r>
    </w:p>
    <w:p w14:paraId="7DA1441B"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Gross Domestic Product:</w:t>
      </w:r>
      <w:r w:rsidRPr="001E7125">
        <w:rPr>
          <w:rStyle w:val="st"/>
          <w:rFonts w:asciiTheme="majorHAnsi" w:hAnsiTheme="majorHAnsi"/>
          <w:sz w:val="24"/>
        </w:rPr>
        <w:t xml:space="preserve"> </w:t>
      </w:r>
      <w:r w:rsidRPr="00B9351B">
        <w:rPr>
          <w:rStyle w:val="st"/>
          <w:rFonts w:asciiTheme="majorHAnsi" w:hAnsiTheme="majorHAnsi"/>
          <w:sz w:val="24"/>
        </w:rPr>
        <w:t>The economy shrunk at a 5.0</w:t>
      </w:r>
      <w:r>
        <w:rPr>
          <w:rStyle w:val="st"/>
          <w:rFonts w:asciiTheme="majorHAnsi" w:hAnsiTheme="majorHAnsi"/>
          <w:sz w:val="24"/>
        </w:rPr>
        <w:t xml:space="preserve">% </w:t>
      </w:r>
      <w:r w:rsidRPr="00B9351B">
        <w:rPr>
          <w:rStyle w:val="st"/>
          <w:rFonts w:asciiTheme="majorHAnsi" w:hAnsiTheme="majorHAnsi"/>
          <w:sz w:val="24"/>
        </w:rPr>
        <w:t xml:space="preserve">annual rate, higher than the initial estimate of </w:t>
      </w:r>
      <w:r w:rsidRPr="00B9351B">
        <w:rPr>
          <w:rStyle w:val="st"/>
          <w:rFonts w:asciiTheme="majorHAnsi" w:hAnsiTheme="majorHAnsi"/>
          <w:sz w:val="24"/>
        </w:rPr>
        <w:t>4.</w:t>
      </w:r>
      <w:r>
        <w:rPr>
          <w:rStyle w:val="st"/>
          <w:rFonts w:asciiTheme="majorHAnsi" w:hAnsiTheme="majorHAnsi"/>
          <w:sz w:val="24"/>
        </w:rPr>
        <w:t>8%</w:t>
      </w:r>
      <w:r w:rsidRPr="001E7125">
        <w:rPr>
          <w:rStyle w:val="st"/>
          <w:rFonts w:asciiTheme="majorHAnsi" w:hAnsiTheme="majorHAnsi"/>
          <w:sz w:val="24"/>
        </w:rPr>
        <w:t>.</w:t>
      </w:r>
      <w:r>
        <w:rPr>
          <w:rStyle w:val="st"/>
          <w:rFonts w:asciiTheme="majorHAnsi" w:hAnsiTheme="majorHAnsi"/>
          <w:sz w:val="24"/>
          <w:vertAlign w:val="superscript"/>
        </w:rPr>
        <w:t>9</w:t>
      </w:r>
    </w:p>
    <w:p w14:paraId="2EBEC8D8"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Employment:</w:t>
      </w:r>
      <w:r w:rsidRPr="001E7125">
        <w:rPr>
          <w:rStyle w:val="st"/>
          <w:rFonts w:asciiTheme="majorHAnsi" w:hAnsiTheme="majorHAnsi"/>
          <w:sz w:val="24"/>
        </w:rPr>
        <w:t xml:space="preserve"> </w:t>
      </w:r>
      <w:r w:rsidRPr="00B9351B">
        <w:rPr>
          <w:rStyle w:val="st"/>
          <w:rFonts w:asciiTheme="majorHAnsi" w:hAnsiTheme="majorHAnsi"/>
          <w:sz w:val="24"/>
        </w:rPr>
        <w:t>The unemployment rate leaped to 14.</w:t>
      </w:r>
      <w:r>
        <w:rPr>
          <w:rStyle w:val="st"/>
          <w:rFonts w:asciiTheme="majorHAnsi" w:hAnsiTheme="majorHAnsi"/>
          <w:sz w:val="24"/>
        </w:rPr>
        <w:t>7%,</w:t>
      </w:r>
      <w:r w:rsidRPr="00B9351B">
        <w:rPr>
          <w:rStyle w:val="st"/>
          <w:rFonts w:asciiTheme="majorHAnsi" w:hAnsiTheme="majorHAnsi"/>
          <w:sz w:val="24"/>
        </w:rPr>
        <w:t xml:space="preserve"> as nonfarm payrolls fell by 20.5 million. The unemployment rate was the highest seen since the Great Depression</w:t>
      </w:r>
      <w:r w:rsidRPr="001E7125">
        <w:rPr>
          <w:rStyle w:val="st"/>
          <w:rFonts w:asciiTheme="majorHAnsi" w:hAnsiTheme="majorHAnsi"/>
          <w:sz w:val="24"/>
        </w:rPr>
        <w:t>.</w:t>
      </w:r>
      <w:r>
        <w:rPr>
          <w:rStyle w:val="st"/>
          <w:rFonts w:asciiTheme="majorHAnsi" w:hAnsiTheme="majorHAnsi"/>
          <w:sz w:val="24"/>
          <w:vertAlign w:val="superscript"/>
        </w:rPr>
        <w:t>10</w:t>
      </w:r>
    </w:p>
    <w:p w14:paraId="682BD990"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Retail Sales:</w:t>
      </w:r>
      <w:r w:rsidRPr="001E7125">
        <w:rPr>
          <w:rStyle w:val="st"/>
          <w:rFonts w:asciiTheme="majorHAnsi" w:hAnsiTheme="majorHAnsi"/>
          <w:sz w:val="24"/>
        </w:rPr>
        <w:t xml:space="preserve"> </w:t>
      </w:r>
      <w:r w:rsidRPr="00B9351B">
        <w:rPr>
          <w:rStyle w:val="st"/>
          <w:rFonts w:asciiTheme="majorHAnsi" w:hAnsiTheme="majorHAnsi"/>
          <w:sz w:val="24"/>
        </w:rPr>
        <w:t>Retail sales plunged by 16.</w:t>
      </w:r>
      <w:r>
        <w:rPr>
          <w:rStyle w:val="st"/>
          <w:rFonts w:asciiTheme="majorHAnsi" w:hAnsiTheme="majorHAnsi"/>
          <w:sz w:val="24"/>
        </w:rPr>
        <w:t>4%</w:t>
      </w:r>
      <w:r w:rsidRPr="00B9351B">
        <w:rPr>
          <w:rStyle w:val="st"/>
          <w:rFonts w:asciiTheme="majorHAnsi" w:hAnsiTheme="majorHAnsi"/>
          <w:sz w:val="24"/>
        </w:rPr>
        <w:t xml:space="preserve">, with every sector lower except for non-store retailers, which are predominately </w:t>
      </w:r>
      <w:r>
        <w:rPr>
          <w:rStyle w:val="st"/>
          <w:rFonts w:asciiTheme="majorHAnsi" w:hAnsiTheme="majorHAnsi"/>
          <w:sz w:val="24"/>
        </w:rPr>
        <w:t>I</w:t>
      </w:r>
      <w:r w:rsidRPr="00B9351B">
        <w:rPr>
          <w:rStyle w:val="st"/>
          <w:rFonts w:asciiTheme="majorHAnsi" w:hAnsiTheme="majorHAnsi"/>
          <w:sz w:val="24"/>
        </w:rPr>
        <w:t>nternet-based merchants</w:t>
      </w:r>
      <w:r w:rsidRPr="001E7125">
        <w:rPr>
          <w:rStyle w:val="st"/>
          <w:rFonts w:asciiTheme="majorHAnsi" w:hAnsiTheme="majorHAnsi"/>
          <w:sz w:val="24"/>
        </w:rPr>
        <w:t>.</w:t>
      </w:r>
      <w:r>
        <w:rPr>
          <w:rStyle w:val="st"/>
          <w:rFonts w:asciiTheme="majorHAnsi" w:hAnsiTheme="majorHAnsi"/>
          <w:sz w:val="24"/>
          <w:vertAlign w:val="superscript"/>
        </w:rPr>
        <w:t>11</w:t>
      </w:r>
    </w:p>
    <w:p w14:paraId="75465402"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Industrial Production:</w:t>
      </w:r>
      <w:r w:rsidRPr="001E7125">
        <w:rPr>
          <w:rStyle w:val="st"/>
          <w:rFonts w:asciiTheme="majorHAnsi" w:hAnsiTheme="majorHAnsi"/>
          <w:sz w:val="24"/>
        </w:rPr>
        <w:t xml:space="preserve"> </w:t>
      </w:r>
      <w:r w:rsidRPr="00B9351B">
        <w:rPr>
          <w:rStyle w:val="st"/>
          <w:rFonts w:asciiTheme="majorHAnsi" w:hAnsiTheme="majorHAnsi"/>
          <w:sz w:val="24"/>
        </w:rPr>
        <w:t>Industrial production fell 11.</w:t>
      </w:r>
      <w:r>
        <w:rPr>
          <w:rStyle w:val="st"/>
          <w:rFonts w:asciiTheme="majorHAnsi" w:hAnsiTheme="majorHAnsi"/>
          <w:sz w:val="24"/>
        </w:rPr>
        <w:t>2%</w:t>
      </w:r>
      <w:r w:rsidRPr="00B9351B">
        <w:rPr>
          <w:rStyle w:val="st"/>
          <w:rFonts w:asciiTheme="majorHAnsi" w:hAnsiTheme="majorHAnsi"/>
          <w:sz w:val="24"/>
        </w:rPr>
        <w:t>, the largest one-month drop in the index’s 100-plus-year history</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2</w:t>
      </w:r>
    </w:p>
    <w:p w14:paraId="2611C3BE" w14:textId="77777777" w:rsidR="00B9351B" w:rsidRPr="00B9351B" w:rsidRDefault="00972F4D" w:rsidP="00B9351B">
      <w:pPr>
        <w:spacing w:line="276" w:lineRule="auto"/>
        <w:rPr>
          <w:rStyle w:val="st"/>
          <w:rFonts w:asciiTheme="majorHAnsi" w:hAnsiTheme="majorHAnsi"/>
          <w:sz w:val="24"/>
        </w:rPr>
      </w:pPr>
      <w:r w:rsidRPr="001E7125">
        <w:rPr>
          <w:rStyle w:val="st"/>
          <w:rFonts w:asciiTheme="majorHAnsi" w:hAnsiTheme="majorHAnsi"/>
          <w:b/>
          <w:bCs/>
          <w:sz w:val="24"/>
        </w:rPr>
        <w:t>Housing:</w:t>
      </w:r>
      <w:r w:rsidRPr="001E7125">
        <w:rPr>
          <w:rStyle w:val="st"/>
          <w:rFonts w:asciiTheme="majorHAnsi" w:hAnsiTheme="majorHAnsi"/>
          <w:sz w:val="24"/>
        </w:rPr>
        <w:t xml:space="preserve"> </w:t>
      </w:r>
      <w:r w:rsidRPr="00B9351B">
        <w:rPr>
          <w:rStyle w:val="st"/>
          <w:rFonts w:asciiTheme="majorHAnsi" w:hAnsiTheme="majorHAnsi"/>
          <w:sz w:val="24"/>
        </w:rPr>
        <w:t>Housing start</w:t>
      </w:r>
      <w:r w:rsidRPr="00B9351B">
        <w:rPr>
          <w:rStyle w:val="st"/>
          <w:rFonts w:asciiTheme="majorHAnsi" w:hAnsiTheme="majorHAnsi"/>
          <w:sz w:val="24"/>
        </w:rPr>
        <w:t>s declined 30.2</w:t>
      </w:r>
      <w:r>
        <w:rPr>
          <w:rStyle w:val="st"/>
          <w:rFonts w:asciiTheme="majorHAnsi" w:hAnsiTheme="majorHAnsi"/>
          <w:sz w:val="24"/>
        </w:rPr>
        <w:t xml:space="preserve">% </w:t>
      </w:r>
      <w:r w:rsidRPr="00B9351B">
        <w:rPr>
          <w:rStyle w:val="st"/>
          <w:rFonts w:asciiTheme="majorHAnsi" w:hAnsiTheme="majorHAnsi"/>
          <w:sz w:val="24"/>
        </w:rPr>
        <w:t>to their lowest level seen since 2015.</w:t>
      </w:r>
      <w:r w:rsidRPr="00B9351B">
        <w:rPr>
          <w:rStyle w:val="st"/>
          <w:rFonts w:asciiTheme="majorHAnsi" w:hAnsiTheme="majorHAnsi"/>
          <w:sz w:val="24"/>
          <w:vertAlign w:val="superscript"/>
        </w:rPr>
        <w:t>13</w:t>
      </w:r>
    </w:p>
    <w:p w14:paraId="128F22F9"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Existing home sales tumbled 17.8</w:t>
      </w:r>
      <w:r>
        <w:rPr>
          <w:rStyle w:val="st"/>
          <w:rFonts w:asciiTheme="majorHAnsi" w:hAnsiTheme="majorHAnsi"/>
          <w:sz w:val="24"/>
        </w:rPr>
        <w:t>%</w:t>
      </w:r>
      <w:r w:rsidRPr="00B9351B">
        <w:rPr>
          <w:rStyle w:val="st"/>
          <w:rFonts w:asciiTheme="majorHAnsi" w:hAnsiTheme="majorHAnsi"/>
          <w:sz w:val="24"/>
        </w:rPr>
        <w:t xml:space="preserve"> in April,</w:t>
      </w:r>
      <w:r>
        <w:rPr>
          <w:rStyle w:val="st"/>
          <w:rFonts w:asciiTheme="majorHAnsi" w:hAnsiTheme="majorHAnsi"/>
          <w:sz w:val="24"/>
        </w:rPr>
        <w:t xml:space="preserve"> which was </w:t>
      </w:r>
      <w:r w:rsidRPr="00B9351B">
        <w:rPr>
          <w:rStyle w:val="st"/>
          <w:rFonts w:asciiTheme="majorHAnsi" w:hAnsiTheme="majorHAnsi"/>
          <w:sz w:val="24"/>
        </w:rPr>
        <w:t>the largest one-month drop since July 2010. The supply of homes declined 19.7</w:t>
      </w:r>
      <w:r>
        <w:rPr>
          <w:rStyle w:val="st"/>
          <w:rFonts w:asciiTheme="majorHAnsi" w:hAnsiTheme="majorHAnsi"/>
          <w:sz w:val="24"/>
        </w:rPr>
        <w:t>%</w:t>
      </w:r>
      <w:r w:rsidRPr="00B9351B">
        <w:rPr>
          <w:rStyle w:val="st"/>
          <w:rFonts w:asciiTheme="majorHAnsi" w:hAnsiTheme="majorHAnsi"/>
          <w:sz w:val="24"/>
        </w:rPr>
        <w:t>. Tightening inventories led to a new record high in the median ho</w:t>
      </w:r>
      <w:r w:rsidRPr="00B9351B">
        <w:rPr>
          <w:rStyle w:val="st"/>
          <w:rFonts w:asciiTheme="majorHAnsi" w:hAnsiTheme="majorHAnsi"/>
          <w:sz w:val="24"/>
        </w:rPr>
        <w:t>me sales price ($286,800).</w:t>
      </w:r>
      <w:r w:rsidRPr="00B9351B">
        <w:rPr>
          <w:rStyle w:val="st"/>
          <w:rFonts w:asciiTheme="majorHAnsi" w:hAnsiTheme="majorHAnsi"/>
          <w:sz w:val="24"/>
          <w:vertAlign w:val="superscript"/>
        </w:rPr>
        <w:t>14</w:t>
      </w:r>
    </w:p>
    <w:p w14:paraId="183D60DC" w14:textId="77777777" w:rsidR="001E7125" w:rsidRPr="001E7125" w:rsidRDefault="00972F4D" w:rsidP="00B9351B">
      <w:pPr>
        <w:spacing w:line="276" w:lineRule="auto"/>
        <w:rPr>
          <w:rStyle w:val="st"/>
          <w:rFonts w:asciiTheme="majorHAnsi" w:hAnsiTheme="majorHAnsi"/>
          <w:sz w:val="24"/>
        </w:rPr>
      </w:pPr>
      <w:r w:rsidRPr="00B9351B">
        <w:rPr>
          <w:rStyle w:val="st"/>
          <w:rFonts w:asciiTheme="majorHAnsi" w:hAnsiTheme="majorHAnsi"/>
          <w:sz w:val="24"/>
        </w:rPr>
        <w:t>Sales of new homes rose 0.</w:t>
      </w:r>
      <w:r>
        <w:rPr>
          <w:rStyle w:val="st"/>
          <w:rFonts w:asciiTheme="majorHAnsi" w:hAnsiTheme="majorHAnsi"/>
          <w:sz w:val="24"/>
        </w:rPr>
        <w:t>6%</w:t>
      </w:r>
      <w:r w:rsidRPr="00B9351B">
        <w:rPr>
          <w:rStyle w:val="st"/>
          <w:rFonts w:asciiTheme="majorHAnsi" w:hAnsiTheme="majorHAnsi"/>
          <w:sz w:val="24"/>
        </w:rPr>
        <w:t>, a surprise increase amid a consensus forecast of a nearly 22</w:t>
      </w:r>
      <w:r>
        <w:rPr>
          <w:rStyle w:val="st"/>
          <w:rFonts w:asciiTheme="majorHAnsi" w:hAnsiTheme="majorHAnsi"/>
          <w:sz w:val="24"/>
        </w:rPr>
        <w:t xml:space="preserve">% </w:t>
      </w:r>
      <w:r w:rsidRPr="00B9351B">
        <w:rPr>
          <w:rStyle w:val="st"/>
          <w:rFonts w:asciiTheme="majorHAnsi" w:hAnsiTheme="majorHAnsi"/>
          <w:sz w:val="24"/>
        </w:rPr>
        <w:t>drop</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5</w:t>
      </w:r>
    </w:p>
    <w:p w14:paraId="05B98675" w14:textId="77777777" w:rsidR="001E7125" w:rsidRPr="001E7125" w:rsidRDefault="00972F4D" w:rsidP="001E7125">
      <w:pPr>
        <w:spacing w:line="276" w:lineRule="auto"/>
        <w:rPr>
          <w:rStyle w:val="st"/>
          <w:rFonts w:asciiTheme="majorHAnsi" w:hAnsiTheme="majorHAnsi"/>
          <w:sz w:val="24"/>
        </w:rPr>
      </w:pPr>
      <w:r w:rsidRPr="001E7125">
        <w:rPr>
          <w:rStyle w:val="st"/>
          <w:rFonts w:asciiTheme="majorHAnsi" w:hAnsiTheme="majorHAnsi"/>
          <w:b/>
          <w:bCs/>
          <w:sz w:val="24"/>
        </w:rPr>
        <w:t>Consumer Price Index:</w:t>
      </w:r>
      <w:r w:rsidRPr="001E7125">
        <w:rPr>
          <w:rStyle w:val="st"/>
          <w:rFonts w:asciiTheme="majorHAnsi" w:hAnsiTheme="majorHAnsi"/>
          <w:sz w:val="24"/>
        </w:rPr>
        <w:t xml:space="preserve"> </w:t>
      </w:r>
      <w:r w:rsidRPr="00B9351B">
        <w:rPr>
          <w:rStyle w:val="st"/>
          <w:rFonts w:asciiTheme="majorHAnsi" w:hAnsiTheme="majorHAnsi"/>
          <w:sz w:val="24"/>
        </w:rPr>
        <w:t>The price of consumer goods posted its largest monthly drop since 2008, falling 0.8</w:t>
      </w:r>
      <w:r>
        <w:rPr>
          <w:rStyle w:val="st"/>
          <w:rFonts w:asciiTheme="majorHAnsi" w:hAnsiTheme="majorHAnsi"/>
          <w:sz w:val="24"/>
        </w:rPr>
        <w:t xml:space="preserve">% </w:t>
      </w:r>
      <w:r w:rsidRPr="00B9351B">
        <w:rPr>
          <w:rStyle w:val="st"/>
          <w:rFonts w:asciiTheme="majorHAnsi" w:hAnsiTheme="majorHAnsi"/>
          <w:sz w:val="24"/>
        </w:rPr>
        <w:t xml:space="preserve">in April. Excluding </w:t>
      </w:r>
      <w:r w:rsidRPr="00B9351B">
        <w:rPr>
          <w:rStyle w:val="st"/>
          <w:rFonts w:asciiTheme="majorHAnsi" w:hAnsiTheme="majorHAnsi"/>
          <w:sz w:val="24"/>
        </w:rPr>
        <w:t>the more volatile food and energy sectors, core inflation declined 0.4</w:t>
      </w:r>
      <w:r>
        <w:rPr>
          <w:rStyle w:val="st"/>
          <w:rFonts w:asciiTheme="majorHAnsi" w:hAnsiTheme="majorHAnsi"/>
          <w:sz w:val="24"/>
        </w:rPr>
        <w:t>%</w:t>
      </w:r>
      <w:r w:rsidRPr="00B9351B">
        <w:rPr>
          <w:rStyle w:val="st"/>
          <w:rFonts w:asciiTheme="majorHAnsi" w:hAnsiTheme="majorHAnsi"/>
          <w:sz w:val="24"/>
        </w:rPr>
        <w:t>, the largest monthly drop since 1957</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6</w:t>
      </w:r>
    </w:p>
    <w:p w14:paraId="3967E243" w14:textId="77777777" w:rsidR="001E7125" w:rsidRDefault="00972F4D" w:rsidP="001E7125">
      <w:pPr>
        <w:spacing w:line="276" w:lineRule="auto"/>
        <w:rPr>
          <w:rStyle w:val="st"/>
          <w:rFonts w:asciiTheme="majorHAnsi" w:hAnsiTheme="majorHAnsi"/>
          <w:sz w:val="24"/>
          <w:vertAlign w:val="superscript"/>
        </w:rPr>
      </w:pPr>
      <w:r w:rsidRPr="001E7125">
        <w:rPr>
          <w:rStyle w:val="st"/>
          <w:rFonts w:asciiTheme="majorHAnsi" w:hAnsiTheme="majorHAnsi"/>
          <w:b/>
          <w:bCs/>
          <w:sz w:val="24"/>
        </w:rPr>
        <w:t>Durable Goods Orders:</w:t>
      </w:r>
      <w:r w:rsidRPr="001E7125">
        <w:rPr>
          <w:rStyle w:val="st"/>
          <w:rFonts w:asciiTheme="majorHAnsi" w:hAnsiTheme="majorHAnsi"/>
          <w:sz w:val="24"/>
        </w:rPr>
        <w:t xml:space="preserve">  </w:t>
      </w:r>
      <w:r w:rsidRPr="00B9351B">
        <w:rPr>
          <w:rStyle w:val="st"/>
          <w:rFonts w:asciiTheme="majorHAnsi" w:hAnsiTheme="majorHAnsi"/>
          <w:sz w:val="24"/>
        </w:rPr>
        <w:t>Orders of long-lasting goods dropped 17.2</w:t>
      </w:r>
      <w:r>
        <w:rPr>
          <w:rStyle w:val="st"/>
          <w:rFonts w:asciiTheme="majorHAnsi" w:hAnsiTheme="majorHAnsi"/>
          <w:sz w:val="24"/>
        </w:rPr>
        <w:t>%</w:t>
      </w:r>
      <w:r w:rsidRPr="00B9351B">
        <w:rPr>
          <w:rStyle w:val="st"/>
          <w:rFonts w:asciiTheme="majorHAnsi" w:hAnsiTheme="majorHAnsi"/>
          <w:sz w:val="24"/>
        </w:rPr>
        <w:t>, with demand for transportation equipment falling an eye-catching 47.3</w:t>
      </w:r>
      <w:r>
        <w:rPr>
          <w:rStyle w:val="st"/>
          <w:rFonts w:asciiTheme="majorHAnsi" w:hAnsiTheme="majorHAnsi"/>
          <w:sz w:val="24"/>
        </w:rPr>
        <w:t>%</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7</w:t>
      </w:r>
    </w:p>
    <w:p w14:paraId="6160012D" w14:textId="77777777" w:rsidR="00B60BB5" w:rsidRDefault="00972F4D"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03D09AF2" wp14:editId="74D4F5E6">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3B19F736" w14:textId="77777777" w:rsidR="00B60BB5" w:rsidRPr="00DD38C0" w:rsidRDefault="00972F4D" w:rsidP="00B60BB5">
      <w:pPr>
        <w:spacing w:line="276" w:lineRule="auto"/>
        <w:jc w:val="center"/>
        <w:rPr>
          <w:rStyle w:val="st"/>
          <w:rFonts w:asciiTheme="majorHAnsi" w:hAnsiTheme="majorHAnsi"/>
          <w:color w:val="E88E0A"/>
          <w:sz w:val="4"/>
        </w:rPr>
      </w:pPr>
    </w:p>
    <w:p w14:paraId="6E2DA09D" w14:textId="77777777" w:rsidR="00B60BB5" w:rsidRPr="00CE13AE" w:rsidRDefault="00972F4D" w:rsidP="00B60BB5">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14:paraId="6777AA9B" w14:textId="77777777" w:rsidR="00B60BB5" w:rsidRPr="00DD38C0" w:rsidRDefault="00972F4D" w:rsidP="00B60BB5">
      <w:pPr>
        <w:spacing w:line="276" w:lineRule="auto"/>
        <w:jc w:val="center"/>
        <w:rPr>
          <w:rStyle w:val="st"/>
          <w:rFonts w:asciiTheme="majorHAnsi" w:hAnsiTheme="majorHAnsi"/>
          <w:sz w:val="4"/>
        </w:rPr>
      </w:pPr>
    </w:p>
    <w:p w14:paraId="74D8FB02" w14:textId="77777777" w:rsidR="00B60BB5" w:rsidRDefault="00972F4D" w:rsidP="00B60BB5">
      <w:pPr>
        <w:spacing w:line="276" w:lineRule="auto"/>
        <w:jc w:val="center"/>
        <w:rPr>
          <w:rStyle w:val="st"/>
          <w:rFonts w:asciiTheme="majorHAnsi" w:hAnsiTheme="majorHAnsi"/>
        </w:rPr>
      </w:pPr>
      <w:r>
        <w:rPr>
          <w:rFonts w:asciiTheme="majorHAnsi" w:hAnsiTheme="majorHAnsi"/>
          <w:noProof/>
        </w:rPr>
        <w:drawing>
          <wp:inline distT="0" distB="0" distL="0" distR="0" wp14:anchorId="28EA7D67" wp14:editId="46D9B434">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32281D9" w14:textId="77777777" w:rsidR="00B60BB5" w:rsidRPr="00F5056A" w:rsidRDefault="00972F4D" w:rsidP="00B60BB5">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B9351B">
        <w:rPr>
          <w:rStyle w:val="st"/>
          <w:rFonts w:asciiTheme="majorHAnsi" w:hAnsiTheme="majorHAnsi"/>
          <w:i/>
          <w:sz w:val="36"/>
        </w:rPr>
        <w:t>The older I get, the smarter my father seems to get</w:t>
      </w:r>
      <w:r w:rsidRPr="00F5056A">
        <w:rPr>
          <w:rStyle w:val="st"/>
          <w:rFonts w:asciiTheme="majorHAnsi" w:hAnsiTheme="majorHAnsi"/>
          <w:b/>
          <w:i/>
          <w:sz w:val="36"/>
        </w:rPr>
        <w:t>.</w:t>
      </w:r>
      <w:r w:rsidRPr="00F5056A">
        <w:rPr>
          <w:rStyle w:val="st"/>
          <w:rFonts w:asciiTheme="majorHAnsi" w:hAnsiTheme="majorHAnsi"/>
          <w:i/>
          <w:sz w:val="36"/>
        </w:rPr>
        <w:t>”</w:t>
      </w:r>
    </w:p>
    <w:p w14:paraId="1DDC4111" w14:textId="77777777" w:rsidR="00B60BB5" w:rsidRPr="00825DF7" w:rsidRDefault="00972F4D" w:rsidP="00B60BB5">
      <w:pPr>
        <w:spacing w:line="276" w:lineRule="auto"/>
        <w:jc w:val="center"/>
        <w:rPr>
          <w:rStyle w:val="st"/>
          <w:rFonts w:asciiTheme="majorHAnsi" w:hAnsiTheme="majorHAnsi"/>
          <w:caps/>
          <w:color w:val="3E7BB6"/>
          <w:sz w:val="24"/>
        </w:rPr>
      </w:pPr>
      <w:r>
        <w:rPr>
          <w:rStyle w:val="st"/>
          <w:rFonts w:asciiTheme="majorHAnsi" w:hAnsiTheme="majorHAnsi"/>
          <w:i/>
          <w:caps/>
          <w:color w:val="3E7BB6"/>
        </w:rPr>
        <w:t>Tim RUSSERT</w:t>
      </w:r>
    </w:p>
    <w:p w14:paraId="25B8FDD9" w14:textId="77777777" w:rsidR="00B60BB5" w:rsidRPr="00DD38C0" w:rsidRDefault="00972F4D" w:rsidP="00B60BB5">
      <w:pPr>
        <w:spacing w:line="276" w:lineRule="auto"/>
        <w:jc w:val="center"/>
        <w:rPr>
          <w:rStyle w:val="st"/>
          <w:rFonts w:asciiTheme="majorHAnsi" w:hAnsiTheme="majorHAnsi"/>
          <w:i/>
          <w:color w:val="E88E0A"/>
          <w:sz w:val="4"/>
        </w:rPr>
      </w:pPr>
    </w:p>
    <w:p w14:paraId="44EF2B0C" w14:textId="77777777" w:rsidR="00B60BB5" w:rsidRDefault="00972F4D"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8E31C4A" wp14:editId="2BC0FDDA">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6535490" w14:textId="77777777" w:rsidR="00B60BB5" w:rsidRDefault="00972F4D" w:rsidP="001E7125">
      <w:pPr>
        <w:spacing w:line="276" w:lineRule="auto"/>
        <w:rPr>
          <w:rStyle w:val="st"/>
          <w:rFonts w:asciiTheme="majorHAnsi" w:hAnsiTheme="majorHAnsi"/>
          <w:sz w:val="24"/>
        </w:rPr>
      </w:pPr>
    </w:p>
    <w:p w14:paraId="65DFCCAF" w14:textId="77777777" w:rsidR="001E7125" w:rsidRPr="007A5A6C" w:rsidRDefault="00972F4D" w:rsidP="001E7125">
      <w:pPr>
        <w:spacing w:line="276" w:lineRule="auto"/>
        <w:rPr>
          <w:rFonts w:asciiTheme="majorHAnsi" w:hAnsiTheme="majorHAnsi"/>
          <w:b/>
          <w:spacing w:val="-2"/>
          <w:sz w:val="28"/>
        </w:rPr>
      </w:pPr>
      <w:r w:rsidRPr="001E7125">
        <w:rPr>
          <w:rFonts w:asciiTheme="majorHAnsi" w:hAnsiTheme="majorHAnsi"/>
          <w:b/>
          <w:color w:val="3E7BB6"/>
          <w:spacing w:val="-2"/>
          <w:sz w:val="28"/>
        </w:rPr>
        <w:t>The Fed</w:t>
      </w:r>
    </w:p>
    <w:p w14:paraId="55BC5480"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 xml:space="preserve">Minutes from the last Federal Open Market Committee meeting reaffirmed a commitment to maintaining a zero interest rate policy until inflation reaches the Fed’s </w:t>
      </w:r>
      <w:r>
        <w:rPr>
          <w:rStyle w:val="st"/>
          <w:rFonts w:asciiTheme="majorHAnsi" w:hAnsiTheme="majorHAnsi"/>
          <w:sz w:val="24"/>
        </w:rPr>
        <w:t>2%</w:t>
      </w:r>
      <w:r w:rsidRPr="00B9351B">
        <w:rPr>
          <w:rStyle w:val="st"/>
          <w:rFonts w:asciiTheme="majorHAnsi" w:hAnsiTheme="majorHAnsi"/>
          <w:sz w:val="24"/>
        </w:rPr>
        <w:t xml:space="preserve"> target, and unemployment returns to its pre-COVID-19 level.</w:t>
      </w:r>
    </w:p>
    <w:p w14:paraId="3502A72A" w14:textId="77777777" w:rsidR="00B9351B" w:rsidRPr="00B9351B" w:rsidRDefault="00972F4D" w:rsidP="00B9351B">
      <w:pPr>
        <w:spacing w:line="276" w:lineRule="auto"/>
        <w:rPr>
          <w:rStyle w:val="st"/>
          <w:rFonts w:asciiTheme="majorHAnsi" w:hAnsiTheme="majorHAnsi"/>
          <w:sz w:val="24"/>
        </w:rPr>
      </w:pPr>
      <w:r w:rsidRPr="00B9351B">
        <w:rPr>
          <w:rStyle w:val="st"/>
          <w:rFonts w:asciiTheme="majorHAnsi" w:hAnsiTheme="majorHAnsi"/>
          <w:sz w:val="24"/>
        </w:rPr>
        <w:t>The Committee also focused on ho</w:t>
      </w:r>
      <w:r w:rsidRPr="00B9351B">
        <w:rPr>
          <w:rStyle w:val="st"/>
          <w:rFonts w:asciiTheme="majorHAnsi" w:hAnsiTheme="majorHAnsi"/>
          <w:sz w:val="24"/>
        </w:rPr>
        <w:t>w they expect to use upcoming meetings to communicate about future policy decisions.</w:t>
      </w:r>
    </w:p>
    <w:p w14:paraId="41D3C8FB" w14:textId="77777777" w:rsidR="00775662" w:rsidRPr="00EF31D3" w:rsidRDefault="00972F4D" w:rsidP="00B9351B">
      <w:pPr>
        <w:spacing w:line="276" w:lineRule="auto"/>
        <w:rPr>
          <w:rStyle w:val="st"/>
          <w:rFonts w:asciiTheme="majorHAnsi" w:hAnsiTheme="majorHAnsi"/>
          <w:sz w:val="24"/>
        </w:rPr>
      </w:pPr>
      <w:r w:rsidRPr="00B9351B">
        <w:rPr>
          <w:rStyle w:val="st"/>
          <w:rFonts w:asciiTheme="majorHAnsi" w:hAnsiTheme="majorHAnsi"/>
          <w:sz w:val="24"/>
        </w:rPr>
        <w:t>The minutes also reinforced recent comments that the Fed was not inclined to move toward negative rates</w:t>
      </w:r>
      <w:r w:rsidRPr="001E7125">
        <w:rPr>
          <w:rStyle w:val="st"/>
          <w:rFonts w:asciiTheme="majorHAnsi" w:hAnsiTheme="majorHAnsi"/>
          <w:sz w:val="24"/>
        </w:rPr>
        <w:t>.</w:t>
      </w:r>
      <w:r w:rsidRPr="001E7125">
        <w:rPr>
          <w:rStyle w:val="st"/>
          <w:rFonts w:asciiTheme="majorHAnsi" w:hAnsiTheme="majorHAnsi"/>
          <w:sz w:val="24"/>
          <w:vertAlign w:val="superscript"/>
        </w:rPr>
        <w:t>1</w:t>
      </w:r>
      <w:r>
        <w:rPr>
          <w:rStyle w:val="st"/>
          <w:rFonts w:asciiTheme="majorHAnsi" w:hAnsiTheme="majorHAnsi"/>
          <w:sz w:val="24"/>
          <w:vertAlign w:val="superscript"/>
        </w:rPr>
        <w:t>8</w:t>
      </w:r>
    </w:p>
    <w:tbl>
      <w:tblPr>
        <w:tblW w:w="4943" w:type="pct"/>
        <w:jc w:val="center"/>
        <w:tblLook w:val="04A0" w:firstRow="1" w:lastRow="0" w:firstColumn="1" w:lastColumn="0" w:noHBand="0" w:noVBand="1"/>
      </w:tblPr>
      <w:tblGrid>
        <w:gridCol w:w="3037"/>
        <w:gridCol w:w="3038"/>
        <w:gridCol w:w="3036"/>
      </w:tblGrid>
      <w:tr w:rsidR="0010465A" w14:paraId="08F115CC" w14:textId="77777777" w:rsidTr="00B60BB5">
        <w:trPr>
          <w:trHeight w:val="402"/>
          <w:jc w:val="center"/>
        </w:trPr>
        <w:tc>
          <w:tcPr>
            <w:tcW w:w="1667" w:type="pct"/>
            <w:tcBorders>
              <w:top w:val="nil"/>
              <w:left w:val="nil"/>
              <w:bottom w:val="nil"/>
              <w:right w:val="nil"/>
            </w:tcBorders>
            <w:shd w:val="clear" w:color="auto" w:fill="auto"/>
            <w:vAlign w:val="center"/>
            <w:hideMark/>
          </w:tcPr>
          <w:p w14:paraId="74D20D09"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sdt>
              <w:sdtPr>
                <w:tag w:val="goog_rdk_5"/>
                <w:id w:val="-1089692580"/>
              </w:sdtPr>
              <w:sdtEndPr/>
              <w:sdtContent/>
            </w:sdt>
            <w:r>
              <w:rPr>
                <w:b/>
                <w:color w:val="3E7BB6"/>
              </w:rPr>
              <w:t>MARKET INDEX</w:t>
            </w:r>
          </w:p>
        </w:tc>
        <w:tc>
          <w:tcPr>
            <w:tcW w:w="1667" w:type="pct"/>
            <w:tcBorders>
              <w:top w:val="nil"/>
              <w:left w:val="nil"/>
              <w:bottom w:val="nil"/>
              <w:right w:val="nil"/>
            </w:tcBorders>
            <w:shd w:val="clear" w:color="auto" w:fill="auto"/>
            <w:vAlign w:val="center"/>
            <w:hideMark/>
          </w:tcPr>
          <w:p w14:paraId="394B19E4"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Y-T-D CHANGE</w:t>
            </w:r>
          </w:p>
        </w:tc>
        <w:tc>
          <w:tcPr>
            <w:tcW w:w="1666" w:type="pct"/>
            <w:tcBorders>
              <w:top w:val="nil"/>
              <w:left w:val="nil"/>
              <w:bottom w:val="nil"/>
              <w:right w:val="nil"/>
            </w:tcBorders>
            <w:shd w:val="clear" w:color="auto" w:fill="auto"/>
            <w:vAlign w:val="center"/>
            <w:hideMark/>
          </w:tcPr>
          <w:p w14:paraId="112D10FB"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M</w:t>
            </w:r>
            <w:r>
              <w:rPr>
                <w:b/>
                <w:color w:val="3E7BB6"/>
              </w:rPr>
              <w:t>ay</w:t>
            </w:r>
            <w:r>
              <w:rPr>
                <w:b/>
                <w:color w:val="3E7BB6"/>
              </w:rPr>
              <w:t xml:space="preserve"> 2020</w:t>
            </w:r>
          </w:p>
        </w:tc>
      </w:tr>
      <w:tr w:rsidR="0010465A" w14:paraId="71D9FB2A"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23DDF7D2" w14:textId="77777777" w:rsidR="00B60BB5" w:rsidRPr="006D5A63" w:rsidRDefault="00972F4D" w:rsidP="00B60BB5">
            <w:pPr>
              <w:spacing w:after="0" w:line="276" w:lineRule="auto"/>
              <w:jc w:val="center"/>
              <w:rPr>
                <w:rFonts w:ascii="Calibri Light" w:eastAsia="Times New Roman" w:hAnsi="Calibri Light" w:cs="Times New Roman"/>
                <w:color w:val="000000"/>
                <w:szCs w:val="20"/>
              </w:rPr>
            </w:pPr>
            <w:sdt>
              <w:sdtPr>
                <w:tag w:val="goog_rdk_6"/>
                <w:id w:val="127053967"/>
              </w:sdtPr>
              <w:sdtEndPr/>
              <w:sdtContent/>
            </w:sdt>
            <w:r>
              <w:rPr>
                <w:color w:val="000000"/>
              </w:rPr>
              <w:t>DJIA</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1578FC6C" w14:textId="77777777" w:rsidR="00B60BB5" w:rsidRPr="00253458" w:rsidRDefault="00972F4D" w:rsidP="00B60BB5">
            <w:pPr>
              <w:spacing w:after="0" w:line="276" w:lineRule="auto"/>
              <w:jc w:val="center"/>
              <w:rPr>
                <w:rFonts w:ascii="Calibri Light" w:eastAsia="Times New Roman" w:hAnsi="Calibri Light" w:cs="Times New Roman"/>
                <w:szCs w:val="20"/>
              </w:rPr>
            </w:pPr>
            <w:r>
              <w:t>-11.06%</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5D787980"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4.26</w:t>
            </w:r>
            <w:r>
              <w:t>%</w:t>
            </w:r>
          </w:p>
        </w:tc>
      </w:tr>
      <w:tr w:rsidR="0010465A" w14:paraId="74A827E9"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52856807" w14:textId="77777777" w:rsidR="00B60BB5" w:rsidRPr="006D5A63" w:rsidRDefault="00972F4D" w:rsidP="00B60BB5">
            <w:pPr>
              <w:spacing w:after="0" w:line="276" w:lineRule="auto"/>
              <w:jc w:val="center"/>
              <w:rPr>
                <w:rFonts w:ascii="Calibri Light" w:eastAsia="Times New Roman" w:hAnsi="Calibri Light" w:cs="Times New Roman"/>
                <w:color w:val="000000"/>
                <w:szCs w:val="20"/>
              </w:rPr>
            </w:pPr>
            <w:sdt>
              <w:sdtPr>
                <w:tag w:val="goog_rdk_7"/>
                <w:id w:val="-1174564592"/>
              </w:sdtPr>
              <w:sdtEndPr/>
              <w:sdtContent/>
            </w:sdt>
            <w:r>
              <w:rPr>
                <w:color w:val="000000"/>
              </w:rPr>
              <w:t>NASDAQ</w:t>
            </w:r>
          </w:p>
        </w:tc>
        <w:tc>
          <w:tcPr>
            <w:tcW w:w="1667" w:type="pct"/>
            <w:tcBorders>
              <w:top w:val="nil"/>
              <w:left w:val="nil"/>
              <w:bottom w:val="single" w:sz="4" w:space="0" w:color="A5A5A5"/>
              <w:right w:val="single" w:sz="4" w:space="0" w:color="A5A5A5"/>
            </w:tcBorders>
            <w:shd w:val="clear" w:color="000000" w:fill="F2F2F2"/>
            <w:vAlign w:val="center"/>
            <w:hideMark/>
          </w:tcPr>
          <w:p w14:paraId="62F4B26D"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5.76</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606DF04A"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6.75</w:t>
            </w:r>
            <w:r>
              <w:t>%</w:t>
            </w:r>
          </w:p>
        </w:tc>
      </w:tr>
      <w:tr w:rsidR="0010465A" w14:paraId="2741EBE3"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72101E76" w14:textId="77777777" w:rsidR="00B60BB5" w:rsidRPr="006D5A63" w:rsidRDefault="00972F4D" w:rsidP="00B60BB5">
            <w:pPr>
              <w:spacing w:after="0" w:line="276" w:lineRule="auto"/>
              <w:jc w:val="center"/>
              <w:rPr>
                <w:rFonts w:ascii="Calibri Light" w:eastAsia="Times New Roman" w:hAnsi="Calibri Light" w:cs="Times New Roman"/>
                <w:color w:val="000000"/>
                <w:szCs w:val="20"/>
              </w:rPr>
            </w:pPr>
            <w:sdt>
              <w:sdtPr>
                <w:tag w:val="goog_rdk_8"/>
                <w:id w:val="-2058466190"/>
              </w:sdtPr>
              <w:sdtEndPr/>
              <w:sdtContent/>
            </w:sdt>
            <w:r>
              <w:rPr>
                <w:color w:val="000000"/>
              </w:rPr>
              <w:t>S&amp;P 500</w:t>
            </w:r>
          </w:p>
        </w:tc>
        <w:tc>
          <w:tcPr>
            <w:tcW w:w="1667" w:type="pct"/>
            <w:tcBorders>
              <w:top w:val="nil"/>
              <w:left w:val="nil"/>
              <w:bottom w:val="single" w:sz="4" w:space="0" w:color="A5A5A5"/>
              <w:right w:val="single" w:sz="4" w:space="0" w:color="A5A5A5"/>
            </w:tcBorders>
            <w:shd w:val="clear" w:color="000000" w:fill="F2F2F2"/>
            <w:vAlign w:val="center"/>
            <w:hideMark/>
          </w:tcPr>
          <w:p w14:paraId="6F6D88C7"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-5.77</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58253A7E" w14:textId="77777777" w:rsidR="00B60BB5" w:rsidRPr="00253458" w:rsidRDefault="00972F4D" w:rsidP="00B60BB5">
            <w:pPr>
              <w:spacing w:after="0" w:line="276" w:lineRule="auto"/>
              <w:jc w:val="center"/>
              <w:rPr>
                <w:rFonts w:ascii="Calibri Light" w:eastAsia="Times New Roman" w:hAnsi="Calibri Light" w:cs="Times New Roman"/>
                <w:szCs w:val="20"/>
              </w:rPr>
            </w:pPr>
            <w:r w:rsidRPr="00B9351B">
              <w:t>4.53</w:t>
            </w:r>
            <w:r>
              <w:t>%</w:t>
            </w:r>
          </w:p>
        </w:tc>
      </w:tr>
      <w:tr w:rsidR="0010465A" w14:paraId="56BB37F2" w14:textId="77777777" w:rsidTr="00B60BB5">
        <w:trPr>
          <w:trHeight w:val="402"/>
          <w:jc w:val="center"/>
        </w:trPr>
        <w:tc>
          <w:tcPr>
            <w:tcW w:w="1667" w:type="pct"/>
            <w:tcBorders>
              <w:top w:val="nil"/>
              <w:left w:val="nil"/>
              <w:bottom w:val="nil"/>
              <w:right w:val="nil"/>
            </w:tcBorders>
            <w:shd w:val="clear" w:color="auto" w:fill="auto"/>
            <w:vAlign w:val="center"/>
            <w:hideMark/>
          </w:tcPr>
          <w:p w14:paraId="27031D76" w14:textId="77777777" w:rsidR="00B60BB5" w:rsidRPr="006D5A63" w:rsidRDefault="00972F4D" w:rsidP="00B60BB5">
            <w:pPr>
              <w:spacing w:after="0" w:line="276" w:lineRule="auto"/>
              <w:jc w:val="center"/>
              <w:rPr>
                <w:rFonts w:ascii="Calibri Light" w:eastAsia="Times New Roman" w:hAnsi="Calibri Light" w:cs="Times New Roman"/>
                <w:color w:val="000000"/>
                <w:szCs w:val="20"/>
              </w:rPr>
            </w:pPr>
            <w:sdt>
              <w:sdtPr>
                <w:tag w:val="goog_rdk_9"/>
                <w:id w:val="1990594216"/>
              </w:sdtPr>
              <w:sdtEndPr/>
              <w:sdtContent/>
            </w:sdt>
          </w:p>
        </w:tc>
        <w:tc>
          <w:tcPr>
            <w:tcW w:w="1667" w:type="pct"/>
            <w:tcBorders>
              <w:top w:val="nil"/>
              <w:left w:val="nil"/>
              <w:bottom w:val="nil"/>
              <w:right w:val="nil"/>
            </w:tcBorders>
            <w:shd w:val="clear" w:color="auto" w:fill="auto"/>
            <w:vAlign w:val="center"/>
            <w:hideMark/>
          </w:tcPr>
          <w:p w14:paraId="3D8E01F9" w14:textId="77777777" w:rsidR="00B60BB5" w:rsidRPr="006D5A63" w:rsidRDefault="00972F4D" w:rsidP="00B60BB5">
            <w:pPr>
              <w:spacing w:after="0" w:line="276" w:lineRule="auto"/>
              <w:jc w:val="center"/>
              <w:rPr>
                <w:rFonts w:ascii="Times New Roman" w:eastAsia="Times New Roman" w:hAnsi="Times New Roman" w:cs="Times New Roman"/>
                <w:szCs w:val="20"/>
              </w:rPr>
            </w:pPr>
          </w:p>
        </w:tc>
        <w:tc>
          <w:tcPr>
            <w:tcW w:w="1666" w:type="pct"/>
            <w:tcBorders>
              <w:top w:val="nil"/>
              <w:left w:val="nil"/>
              <w:bottom w:val="nil"/>
              <w:right w:val="nil"/>
            </w:tcBorders>
            <w:shd w:val="clear" w:color="auto" w:fill="auto"/>
            <w:vAlign w:val="center"/>
            <w:hideMark/>
          </w:tcPr>
          <w:p w14:paraId="0BEE7996" w14:textId="77777777" w:rsidR="00B60BB5" w:rsidRPr="006D5A63" w:rsidRDefault="00972F4D" w:rsidP="00B60BB5">
            <w:pPr>
              <w:spacing w:after="0" w:line="276" w:lineRule="auto"/>
              <w:jc w:val="center"/>
              <w:rPr>
                <w:rFonts w:ascii="Times New Roman" w:eastAsia="Times New Roman" w:hAnsi="Times New Roman" w:cs="Times New Roman"/>
                <w:szCs w:val="20"/>
              </w:rPr>
            </w:pPr>
          </w:p>
        </w:tc>
      </w:tr>
      <w:tr w:rsidR="0010465A" w14:paraId="1519327D" w14:textId="77777777" w:rsidTr="00B60BB5">
        <w:trPr>
          <w:trHeight w:val="402"/>
          <w:jc w:val="center"/>
        </w:trPr>
        <w:tc>
          <w:tcPr>
            <w:tcW w:w="1667" w:type="pct"/>
            <w:tcBorders>
              <w:top w:val="nil"/>
              <w:left w:val="nil"/>
              <w:bottom w:val="nil"/>
              <w:right w:val="nil"/>
            </w:tcBorders>
            <w:shd w:val="clear" w:color="auto" w:fill="auto"/>
            <w:vAlign w:val="center"/>
            <w:hideMark/>
          </w:tcPr>
          <w:p w14:paraId="675E318D"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sdt>
              <w:sdtPr>
                <w:tag w:val="goog_rdk_10"/>
                <w:id w:val="-1678411629"/>
              </w:sdtPr>
              <w:sdtEndPr/>
              <w:sdtContent/>
            </w:sdt>
            <w:r>
              <w:rPr>
                <w:b/>
                <w:color w:val="3E7BB6"/>
              </w:rPr>
              <w:t>BOND YIELD</w:t>
            </w:r>
          </w:p>
        </w:tc>
        <w:tc>
          <w:tcPr>
            <w:tcW w:w="1667" w:type="pct"/>
            <w:tcBorders>
              <w:top w:val="nil"/>
              <w:left w:val="nil"/>
              <w:bottom w:val="nil"/>
              <w:right w:val="nil"/>
            </w:tcBorders>
            <w:shd w:val="clear" w:color="auto" w:fill="auto"/>
            <w:vAlign w:val="center"/>
            <w:hideMark/>
          </w:tcPr>
          <w:p w14:paraId="239FEAFB"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Y-T-D</w:t>
            </w:r>
          </w:p>
        </w:tc>
        <w:tc>
          <w:tcPr>
            <w:tcW w:w="1666" w:type="pct"/>
            <w:tcBorders>
              <w:top w:val="nil"/>
              <w:left w:val="nil"/>
              <w:bottom w:val="nil"/>
              <w:right w:val="nil"/>
            </w:tcBorders>
            <w:shd w:val="clear" w:color="auto" w:fill="auto"/>
            <w:vAlign w:val="center"/>
            <w:hideMark/>
          </w:tcPr>
          <w:p w14:paraId="49066338" w14:textId="77777777" w:rsidR="00B60BB5" w:rsidRPr="006D5A63" w:rsidRDefault="00972F4D" w:rsidP="00B60BB5">
            <w:pPr>
              <w:spacing w:after="0" w:line="276" w:lineRule="auto"/>
              <w:jc w:val="center"/>
              <w:rPr>
                <w:rFonts w:ascii="Calibri Light" w:eastAsia="Times New Roman" w:hAnsi="Calibri Light" w:cs="Times New Roman"/>
                <w:b/>
                <w:bCs/>
                <w:color w:val="F9BC50"/>
                <w:szCs w:val="20"/>
              </w:rPr>
            </w:pPr>
            <w:r>
              <w:rPr>
                <w:b/>
                <w:color w:val="3E7BB6"/>
              </w:rPr>
              <w:t>Ma</w:t>
            </w:r>
            <w:r>
              <w:rPr>
                <w:b/>
                <w:color w:val="3E7BB6"/>
              </w:rPr>
              <w:t>y</w:t>
            </w:r>
            <w:r>
              <w:rPr>
                <w:b/>
                <w:color w:val="3E7BB6"/>
              </w:rPr>
              <w:t xml:space="preserve"> 2020</w:t>
            </w:r>
          </w:p>
        </w:tc>
      </w:tr>
      <w:tr w:rsidR="0010465A" w14:paraId="351070CA"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02B2A268" w14:textId="77777777" w:rsidR="00B60BB5" w:rsidRPr="006942AF" w:rsidRDefault="00972F4D" w:rsidP="00B60BB5">
            <w:pPr>
              <w:spacing w:after="0" w:line="276" w:lineRule="auto"/>
              <w:jc w:val="center"/>
              <w:rPr>
                <w:rFonts w:ascii="Calibri Light" w:eastAsia="Times New Roman" w:hAnsi="Calibri Light" w:cs="Times New Roman"/>
                <w:szCs w:val="20"/>
              </w:rPr>
            </w:pPr>
            <w:sdt>
              <w:sdtPr>
                <w:tag w:val="goog_rdk_11"/>
                <w:id w:val="1742901077"/>
              </w:sdtPr>
              <w:sdtEndPr/>
              <w:sdtContent/>
            </w:sdt>
            <w:r>
              <w:t>10 YR TREASURY</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1A0D1DB7" w14:textId="77777777" w:rsidR="00B60BB5" w:rsidRPr="006942AF" w:rsidRDefault="00972F4D" w:rsidP="00B60BB5">
            <w:pPr>
              <w:spacing w:after="0" w:line="276" w:lineRule="auto"/>
              <w:jc w:val="center"/>
              <w:rPr>
                <w:rFonts w:ascii="Calibri Light" w:eastAsia="Times New Roman" w:hAnsi="Calibri Light" w:cs="Times New Roman"/>
                <w:szCs w:val="20"/>
              </w:rPr>
            </w:pPr>
            <w:r w:rsidRPr="00B9351B">
              <w:t>-1.27</w:t>
            </w:r>
            <w:r>
              <w:t>%</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0439B63A" w14:textId="77777777" w:rsidR="00B60BB5" w:rsidRPr="006942AF" w:rsidRDefault="00972F4D" w:rsidP="00B60BB5">
            <w:pPr>
              <w:spacing w:after="0" w:line="276" w:lineRule="auto"/>
              <w:jc w:val="center"/>
              <w:rPr>
                <w:rFonts w:ascii="Calibri Light" w:eastAsia="Times New Roman" w:hAnsi="Calibri Light" w:cs="Times New Roman"/>
                <w:szCs w:val="20"/>
              </w:rPr>
            </w:pPr>
            <w:r w:rsidRPr="00B9351B">
              <w:t>0.65</w:t>
            </w:r>
            <w:r>
              <w:t>%</w:t>
            </w:r>
          </w:p>
        </w:tc>
      </w:tr>
    </w:tbl>
    <w:p w14:paraId="52C3C52E" w14:textId="77777777" w:rsidR="00775662" w:rsidRPr="002D6595" w:rsidRDefault="00972F4D" w:rsidP="00EE6BF2">
      <w:pPr>
        <w:spacing w:line="276" w:lineRule="auto"/>
        <w:rPr>
          <w:rStyle w:val="st"/>
          <w:rFonts w:asciiTheme="majorHAnsi" w:hAnsiTheme="majorHAnsi"/>
          <w:color w:val="767171" w:themeColor="background2" w:themeShade="80"/>
          <w:sz w:val="4"/>
        </w:rPr>
      </w:pPr>
      <w:bookmarkStart w:id="1" w:name="_Hlk533682393"/>
      <w:bookmarkStart w:id="2" w:name="_Hlk2838771"/>
    </w:p>
    <w:bookmarkEnd w:id="1"/>
    <w:p w14:paraId="3B7060B6" w14:textId="77777777" w:rsidR="00775662" w:rsidRPr="006942AF" w:rsidRDefault="00972F4D" w:rsidP="00423B96">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sidRPr="00B9351B">
        <w:rPr>
          <w:rFonts w:asciiTheme="majorHAnsi" w:hAnsiTheme="majorHAnsi"/>
          <w:color w:val="767171" w:themeColor="background2" w:themeShade="80"/>
          <w:sz w:val="18"/>
          <w:szCs w:val="14"/>
        </w:rPr>
        <w:t>Yahoo Finance, May 31, 2020</w:t>
      </w:r>
    </w:p>
    <w:bookmarkEnd w:id="2"/>
    <w:p w14:paraId="613AE847" w14:textId="77777777" w:rsidR="00775662" w:rsidRPr="006942AF" w:rsidRDefault="00972F4D" w:rsidP="00423B96">
      <w:pPr>
        <w:spacing w:line="276" w:lineRule="auto"/>
        <w:rPr>
          <w:rFonts w:asciiTheme="majorHAnsi" w:hAnsiTheme="majorHAnsi" w:cs="Verdana"/>
          <w:iCs/>
          <w:color w:val="767171" w:themeColor="background2" w:themeShade="80"/>
          <w:spacing w:val="-4"/>
          <w:sz w:val="18"/>
          <w:szCs w:val="14"/>
        </w:rPr>
      </w:pPr>
      <w:r w:rsidRPr="00B9351B">
        <w:rPr>
          <w:rFonts w:asciiTheme="majorHAnsi" w:hAnsiTheme="majorHAnsi" w:cs="Verdana"/>
          <w:iCs/>
          <w:color w:val="767171" w:themeColor="background2" w:themeShade="80"/>
          <w:spacing w:val="-4"/>
          <w:sz w:val="18"/>
          <w:szCs w:val="14"/>
        </w:rPr>
        <w:t xml:space="preserve">The market indexes discussed are unmanaged, and generally, considered representative of their </w:t>
      </w:r>
      <w:r w:rsidRPr="00B9351B">
        <w:rPr>
          <w:rFonts w:asciiTheme="majorHAnsi" w:hAnsiTheme="majorHAnsi" w:cs="Verdana"/>
          <w:iCs/>
          <w:color w:val="767171" w:themeColor="background2" w:themeShade="80"/>
          <w:spacing w:val="-4"/>
          <w:sz w:val="18"/>
          <w:szCs w:val="14"/>
        </w:rPr>
        <w:t>respective markets. Individuals cannot directly invest in unmanaged indexes. Past performance does not guarantee future results. U.S. Treasury Notes are guaranteed by the federal government as to the timely payment of principal and interest. However, if yo</w:t>
      </w:r>
      <w:r w:rsidRPr="00B9351B">
        <w:rPr>
          <w:rFonts w:asciiTheme="majorHAnsi" w:hAnsiTheme="majorHAnsi" w:cs="Verdana"/>
          <w:iCs/>
          <w:color w:val="767171" w:themeColor="background2" w:themeShade="80"/>
          <w:spacing w:val="-4"/>
          <w:sz w:val="18"/>
          <w:szCs w:val="14"/>
        </w:rPr>
        <w:t>u sell a Treasury Note prior to maturity, it may be worth more or less than the original price paid</w:t>
      </w:r>
      <w:r>
        <w:rPr>
          <w:rFonts w:asciiTheme="majorHAnsi" w:hAnsiTheme="majorHAnsi" w:cs="Verdana"/>
          <w:iCs/>
          <w:color w:val="767171" w:themeColor="background2" w:themeShade="80"/>
          <w:spacing w:val="-4"/>
          <w:sz w:val="18"/>
          <w:szCs w:val="14"/>
        </w:rPr>
        <w:t>.</w:t>
      </w:r>
    </w:p>
    <w:p w14:paraId="2BEDD48B" w14:textId="77777777" w:rsidR="006D5A63" w:rsidRDefault="00972F4D" w:rsidP="0082667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5D76C2A" wp14:editId="545D442C">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DFFAFC9" w14:textId="77777777" w:rsidR="006D5A63" w:rsidRPr="00DD38C0" w:rsidRDefault="00972F4D" w:rsidP="00EE6BF2">
      <w:pPr>
        <w:spacing w:line="276" w:lineRule="auto"/>
        <w:jc w:val="center"/>
        <w:rPr>
          <w:rStyle w:val="st"/>
          <w:rFonts w:asciiTheme="majorHAnsi" w:hAnsiTheme="majorHAnsi"/>
          <w:color w:val="E88E0A"/>
          <w:sz w:val="4"/>
        </w:rPr>
      </w:pPr>
    </w:p>
    <w:p w14:paraId="3507A350" w14:textId="77777777" w:rsidR="006D5A63" w:rsidRPr="00CE13AE" w:rsidRDefault="00972F4D"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14:paraId="0111001E" w14:textId="77777777" w:rsidR="006D5A63" w:rsidRPr="00DD38C0" w:rsidRDefault="00972F4D" w:rsidP="00EE6BF2">
      <w:pPr>
        <w:spacing w:line="276" w:lineRule="auto"/>
        <w:jc w:val="center"/>
        <w:rPr>
          <w:rStyle w:val="st"/>
          <w:rFonts w:asciiTheme="majorHAnsi" w:hAnsiTheme="majorHAnsi"/>
          <w:sz w:val="4"/>
        </w:rPr>
      </w:pPr>
    </w:p>
    <w:p w14:paraId="043E4064" w14:textId="77777777" w:rsidR="006D5A63" w:rsidRDefault="00972F4D"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190D3FAD" wp14:editId="2C5094B5">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6338E65D" w14:textId="77777777" w:rsidR="006D5A63" w:rsidRPr="002F292D" w:rsidRDefault="00972F4D" w:rsidP="007C4F03">
      <w:pPr>
        <w:spacing w:line="276" w:lineRule="auto"/>
        <w:jc w:val="center"/>
        <w:rPr>
          <w:rStyle w:val="st"/>
          <w:rFonts w:asciiTheme="majorHAnsi" w:hAnsiTheme="majorHAnsi"/>
          <w:i/>
          <w:sz w:val="36"/>
        </w:rPr>
      </w:pPr>
      <w:bookmarkStart w:id="3" w:name="_Hlk533572087"/>
      <w:r w:rsidRPr="002934FD">
        <w:rPr>
          <w:rStyle w:val="st"/>
          <w:rFonts w:asciiTheme="majorHAnsi" w:hAnsiTheme="majorHAnsi"/>
          <w:i/>
          <w:sz w:val="36"/>
        </w:rPr>
        <w:t xml:space="preserve">Here’s a food riddle. Someone strips away the outside of this food, leaving you free to boil, cook, or grill </w:t>
      </w:r>
      <w:r w:rsidRPr="002934FD">
        <w:rPr>
          <w:rStyle w:val="st"/>
          <w:rFonts w:asciiTheme="majorHAnsi" w:hAnsiTheme="majorHAnsi"/>
          <w:i/>
          <w:sz w:val="36"/>
        </w:rPr>
        <w:t>the inside. (So</w:t>
      </w:r>
      <w:r>
        <w:rPr>
          <w:rStyle w:val="st"/>
          <w:rFonts w:asciiTheme="majorHAnsi" w:hAnsiTheme="majorHAnsi"/>
          <w:i/>
          <w:sz w:val="36"/>
        </w:rPr>
        <w:t>,</w:t>
      </w:r>
      <w:r w:rsidRPr="002934FD">
        <w:rPr>
          <w:rStyle w:val="st"/>
          <w:rFonts w:asciiTheme="majorHAnsi" w:hAnsiTheme="majorHAnsi"/>
          <w:i/>
          <w:sz w:val="36"/>
        </w:rPr>
        <w:t xml:space="preserve"> what </w:t>
      </w:r>
      <w:r w:rsidRPr="002934FD">
        <w:rPr>
          <w:rStyle w:val="st"/>
          <w:rFonts w:asciiTheme="majorHAnsi" w:hAnsiTheme="majorHAnsi"/>
          <w:i/>
          <w:sz w:val="36"/>
        </w:rPr>
        <w:lastRenderedPageBreak/>
        <w:t>was the “inside” is now an uncovered outside.) You eat the new outside</w:t>
      </w:r>
      <w:r>
        <w:rPr>
          <w:rStyle w:val="st"/>
          <w:rFonts w:asciiTheme="majorHAnsi" w:hAnsiTheme="majorHAnsi"/>
          <w:i/>
          <w:sz w:val="36"/>
        </w:rPr>
        <w:t xml:space="preserve"> </w:t>
      </w:r>
      <w:r w:rsidRPr="002934FD">
        <w:rPr>
          <w:rStyle w:val="st"/>
          <w:rFonts w:asciiTheme="majorHAnsi" w:hAnsiTheme="majorHAnsi"/>
          <w:i/>
          <w:sz w:val="36"/>
        </w:rPr>
        <w:t>and throw away the inside of that. What food are you eating</w:t>
      </w:r>
      <w:r w:rsidRPr="002F292D">
        <w:rPr>
          <w:rStyle w:val="st"/>
          <w:rFonts w:asciiTheme="majorHAnsi" w:hAnsiTheme="majorHAnsi"/>
          <w:i/>
          <w:sz w:val="36"/>
        </w:rPr>
        <w:t>?</w:t>
      </w:r>
    </w:p>
    <w:bookmarkEnd w:id="3"/>
    <w:p w14:paraId="18EA5F4D" w14:textId="77777777" w:rsidR="00237981" w:rsidRPr="00DD38C0" w:rsidRDefault="00972F4D" w:rsidP="00EE6BF2">
      <w:pPr>
        <w:spacing w:line="276" w:lineRule="auto"/>
        <w:jc w:val="center"/>
        <w:rPr>
          <w:rStyle w:val="st"/>
          <w:rFonts w:asciiTheme="majorHAnsi" w:hAnsiTheme="majorHAnsi"/>
          <w:i/>
          <w:color w:val="A6A6A6" w:themeColor="background1" w:themeShade="A6"/>
          <w:sz w:val="4"/>
        </w:rPr>
      </w:pPr>
    </w:p>
    <w:p w14:paraId="7256DB92" w14:textId="77777777" w:rsidR="00237981" w:rsidRPr="00DD38C0" w:rsidRDefault="00972F4D"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301563">
        <w:rPr>
          <w:rStyle w:val="st"/>
          <w:rFonts w:asciiTheme="majorHAnsi" w:hAnsiTheme="majorHAnsi"/>
          <w:i/>
          <w:color w:val="646464"/>
        </w:rPr>
        <w:t>Its teeth are sharp, and its spine is straight. It is not innately vicious, it d</w:t>
      </w:r>
      <w:r w:rsidRPr="00301563">
        <w:rPr>
          <w:rStyle w:val="st"/>
          <w:rFonts w:asciiTheme="majorHAnsi" w:hAnsiTheme="majorHAnsi"/>
          <w:i/>
          <w:color w:val="646464"/>
        </w:rPr>
        <w:t>oes not hunt, but to cut things up is definitely its fate. What is it?</w:t>
      </w:r>
    </w:p>
    <w:p w14:paraId="09325EA3" w14:textId="77777777" w:rsidR="00237981" w:rsidRPr="00DD38C0" w:rsidRDefault="00972F4D"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sidRPr="00301563">
        <w:rPr>
          <w:rStyle w:val="st"/>
          <w:rFonts w:asciiTheme="majorHAnsi" w:hAnsiTheme="majorHAnsi"/>
          <w:i/>
          <w:color w:val="646464"/>
        </w:rPr>
        <w:t>A saw</w:t>
      </w:r>
      <w:r w:rsidRPr="0006123D">
        <w:rPr>
          <w:rStyle w:val="st"/>
          <w:rFonts w:asciiTheme="majorHAnsi" w:hAnsiTheme="majorHAnsi"/>
          <w:i/>
          <w:color w:val="646464"/>
        </w:rPr>
        <w:t>.</w:t>
      </w:r>
    </w:p>
    <w:p w14:paraId="6C654A96" w14:textId="77777777" w:rsidR="00237981" w:rsidRPr="00DD38C0" w:rsidRDefault="00972F4D" w:rsidP="00EE6BF2">
      <w:pPr>
        <w:spacing w:line="276" w:lineRule="auto"/>
        <w:jc w:val="center"/>
        <w:rPr>
          <w:rStyle w:val="st"/>
          <w:rFonts w:asciiTheme="majorHAnsi" w:hAnsiTheme="majorHAnsi"/>
          <w:i/>
          <w:color w:val="A6A6A6" w:themeColor="background1" w:themeShade="A6"/>
          <w:sz w:val="4"/>
        </w:rPr>
      </w:pPr>
    </w:p>
    <w:p w14:paraId="04EB3F40" w14:textId="77777777" w:rsidR="00237981" w:rsidRDefault="00972F4D"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2A65BAD2" wp14:editId="1BBCE6AE">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4FE63D4F" w14:textId="77777777" w:rsidR="00237981" w:rsidRPr="00DD38C0" w:rsidRDefault="00972F4D" w:rsidP="00EE6BF2">
      <w:pPr>
        <w:spacing w:line="276" w:lineRule="auto"/>
        <w:rPr>
          <w:rFonts w:asciiTheme="majorHAnsi" w:hAnsiTheme="majorHAnsi"/>
          <w:color w:val="A6A6A6" w:themeColor="background1" w:themeShade="A6"/>
          <w:sz w:val="2"/>
          <w:szCs w:val="20"/>
        </w:rPr>
      </w:pPr>
    </w:p>
    <w:p w14:paraId="4ECAEF57" w14:textId="77777777" w:rsidR="006E3EBF" w:rsidRPr="00425944" w:rsidRDefault="00972F4D" w:rsidP="00EE6BF2">
      <w:pPr>
        <w:spacing w:line="276" w:lineRule="auto"/>
        <w:jc w:val="center"/>
        <w:rPr>
          <w:rFonts w:asciiTheme="majorHAnsi" w:hAnsiTheme="majorHAnsi" w:cs="Times New Roman"/>
          <w:sz w:val="2"/>
          <w:szCs w:val="32"/>
        </w:rPr>
      </w:pP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«representativename»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may be reached at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representativephone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«representativephone»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or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representativeemail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«representativeemail»</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w:t>
      </w:r>
      <w:r>
        <w:rPr>
          <w:rFonts w:asciiTheme="majorHAnsi" w:hAnsiTheme="majorHAnsi" w:cs="Times New Roman"/>
          <w:sz w:val="24"/>
          <w:szCs w:val="32"/>
        </w:rPr>
        <w:br/>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representativewebsite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«representativewebsite»</w:t>
      </w:r>
      <w:r w:rsidRPr="00237981">
        <w:rPr>
          <w:rFonts w:asciiTheme="majorHAnsi" w:hAnsiTheme="majorHAnsi" w:cs="Times New Roman"/>
          <w:sz w:val="24"/>
          <w:szCs w:val="32"/>
        </w:rPr>
        <w:fldChar w:fldCharType="end"/>
      </w:r>
      <w:r>
        <w:rPr>
          <w:rFonts w:asciiTheme="majorHAnsi" w:hAnsiTheme="majorHAnsi" w:cs="Times New Roman"/>
          <w:sz w:val="24"/>
          <w:szCs w:val="32"/>
        </w:rPr>
        <w:br/>
      </w:r>
    </w:p>
    <w:p w14:paraId="5A4CCF2B" w14:textId="77777777" w:rsidR="00237981" w:rsidRPr="00DD38C0" w:rsidRDefault="00972F4D"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to our mailing list.)</w:t>
      </w:r>
    </w:p>
    <w:p w14:paraId="4FB49A68" w14:textId="77777777" w:rsidR="00237981" w:rsidRDefault="00972F4D"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38EA5344" wp14:editId="10891812">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E94764D" w14:textId="77777777" w:rsidR="00EA0505" w:rsidRPr="00DD38C0" w:rsidRDefault="00972F4D" w:rsidP="00EE6BF2">
      <w:pPr>
        <w:spacing w:line="276" w:lineRule="auto"/>
        <w:jc w:val="both"/>
        <w:rPr>
          <w:rFonts w:asciiTheme="majorHAnsi" w:hAnsiTheme="majorHAnsi"/>
          <w:color w:val="646464"/>
          <w:sz w:val="2"/>
          <w:szCs w:val="16"/>
        </w:rPr>
      </w:pPr>
    </w:p>
    <w:p w14:paraId="008B3EBE" w14:textId="77777777" w:rsidR="00237981" w:rsidRPr="00DD38C0" w:rsidRDefault="00972F4D" w:rsidP="00EE6BF2">
      <w:pPr>
        <w:spacing w:line="276" w:lineRule="auto"/>
        <w:jc w:val="both"/>
        <w:rPr>
          <w:rFonts w:asciiTheme="majorHAnsi" w:hAnsiTheme="majorHAnsi"/>
          <w:color w:val="646464"/>
          <w:sz w:val="16"/>
          <w:szCs w:val="16"/>
        </w:rPr>
      </w:pPr>
      <w:r w:rsidRPr="00DD38C0">
        <w:rPr>
          <w:rFonts w:asciiTheme="majorHAnsi" w:hAnsiTheme="majorHAnsi"/>
          <w:color w:val="646464"/>
          <w:sz w:val="16"/>
          <w:szCs w:val="16"/>
        </w:rPr>
        <w:fldChar w:fldCharType="begin"/>
      </w:r>
      <w:r w:rsidRPr="00DD38C0">
        <w:rPr>
          <w:rFonts w:asciiTheme="majorHAnsi" w:hAnsiTheme="majorHAnsi"/>
          <w:color w:val="646464"/>
          <w:sz w:val="16"/>
          <w:szCs w:val="16"/>
        </w:rPr>
        <w:instrText xml:space="preserve"> MERGEFIELD  RepresentativeEmailDisclosur</w:instrText>
      </w:r>
      <w:r w:rsidRPr="00DD38C0">
        <w:rPr>
          <w:rFonts w:asciiTheme="majorHAnsi" w:hAnsiTheme="majorHAnsi"/>
          <w:color w:val="646464"/>
          <w:sz w:val="16"/>
          <w:szCs w:val="16"/>
        </w:rPr>
        <w:instrText xml:space="preserve">e  \* MERGEFORMAT </w:instrText>
      </w:r>
      <w:r w:rsidRPr="00DD38C0">
        <w:rPr>
          <w:rFonts w:asciiTheme="majorHAnsi" w:hAnsiTheme="majorHAnsi"/>
          <w:color w:val="646464"/>
          <w:sz w:val="16"/>
          <w:szCs w:val="16"/>
        </w:rPr>
        <w:fldChar w:fldCharType="separate"/>
      </w:r>
      <w:r w:rsidRPr="00DD38C0">
        <w:rPr>
          <w:rFonts w:asciiTheme="majorHAnsi" w:hAnsiTheme="majorHAnsi"/>
          <w:noProof/>
          <w:color w:val="646464"/>
          <w:sz w:val="16"/>
          <w:szCs w:val="16"/>
        </w:rPr>
        <w:t>«RepresentativeEmailDisclosure»</w:t>
      </w:r>
      <w:r w:rsidRPr="00DD38C0">
        <w:rPr>
          <w:rFonts w:asciiTheme="majorHAnsi" w:hAnsiTheme="majorHAnsi"/>
          <w:color w:val="646464"/>
          <w:sz w:val="16"/>
          <w:szCs w:val="16"/>
        </w:rPr>
        <w:fldChar w:fldCharType="end"/>
      </w:r>
    </w:p>
    <w:p w14:paraId="78F2BF89" w14:textId="77777777" w:rsidR="00237981" w:rsidRPr="00DD38C0" w:rsidRDefault="00972F4D"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w:t>
      </w:r>
      <w:r w:rsidRPr="00DD38C0">
        <w:rPr>
          <w:rFonts w:asciiTheme="majorHAnsi" w:hAnsiTheme="majorHAnsi" w:cs="Arial"/>
          <w:color w:val="646464"/>
          <w:sz w:val="16"/>
          <w:szCs w:val="16"/>
        </w:rPr>
        <w:t>, Inc., and does not necessarily represent the views of the presenting party, nor their affiliates. The information herein has been derived from sources believed to be accurate. Please note - investing involves risk, and past performance is no guarantee of</w:t>
      </w:r>
      <w:r w:rsidRPr="00DD38C0">
        <w:rPr>
          <w:rFonts w:asciiTheme="majorHAnsi" w:hAnsiTheme="majorHAnsi" w:cs="Arial"/>
          <w:color w:val="646464"/>
          <w:sz w:val="16"/>
          <w:szCs w:val="16"/>
        </w:rPr>
        <w:t xml:space="preserve"> future results. Investments will fluctuate and when redeemed may be worth more or less than when originally invested. This information should not be construed as investment, tax or legal advice and may not be relied on for the purpose of avoiding any Fede</w:t>
      </w:r>
      <w:r w:rsidRPr="00DD38C0">
        <w:rPr>
          <w:rFonts w:asciiTheme="majorHAnsi" w:hAnsiTheme="majorHAnsi" w:cs="Arial"/>
          <w:color w:val="646464"/>
          <w:sz w:val="16"/>
          <w:szCs w:val="16"/>
        </w:rPr>
        <w:t xml:space="preserv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unmanaged and are not illustrative of any particu</w:t>
      </w:r>
      <w:r w:rsidRPr="00C64077">
        <w:rPr>
          <w:rFonts w:asciiTheme="majorHAnsi" w:hAnsiTheme="majorHAnsi" w:cs="Arial"/>
          <w:color w:val="646464"/>
          <w:sz w:val="16"/>
          <w:szCs w:val="16"/>
        </w:rPr>
        <w:t>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w:t>
      </w:r>
      <w:r w:rsidRPr="00DD38C0">
        <w:rPr>
          <w:rFonts w:asciiTheme="majorHAnsi" w:hAnsiTheme="majorHAnsi"/>
          <w:color w:val="646464"/>
          <w:sz w:val="16"/>
          <w:szCs w:val="16"/>
        </w:rPr>
        <w:t xml:space="preserve">d index of 30 actively traded blue-chip stocks. The NASDAQ Composite Index is a market-weighted index of all over-the-counter common stocks traded on the National Association of Securities Dealers Automated Quotation System. The Standard &amp; Poor's 500 (S&amp;P </w:t>
      </w:r>
      <w:r w:rsidRPr="00DD38C0">
        <w:rPr>
          <w:rFonts w:asciiTheme="majorHAnsi" w:hAnsiTheme="majorHAnsi"/>
          <w:color w:val="646464"/>
          <w:sz w:val="16"/>
          <w:szCs w:val="16"/>
        </w:rPr>
        <w:t>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U.S. equity universe. The CBOE Volatility </w:t>
      </w:r>
      <w:r w:rsidRPr="00DD38C0">
        <w:rPr>
          <w:rFonts w:asciiTheme="majorHAnsi" w:hAnsiTheme="majorHAnsi"/>
          <w:color w:val="646464"/>
          <w:sz w:val="16"/>
          <w:szCs w:val="16"/>
        </w:rPr>
        <w:t>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Exchange (the “NYSE”) and NYSE Arca (formerly kno</w:t>
      </w:r>
      <w:r w:rsidRPr="00DD38C0">
        <w:rPr>
          <w:rFonts w:asciiTheme="majorHAnsi" w:hAnsiTheme="majorHAnsi"/>
          <w:color w:val="646464"/>
          <w:sz w:val="16"/>
          <w:szCs w:val="16"/>
        </w:rPr>
        <w:t>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(NYMEX) is the world's largest physical com</w:t>
      </w:r>
      <w:r w:rsidRPr="00DD38C0">
        <w:rPr>
          <w:rFonts w:asciiTheme="majorHAnsi" w:hAnsiTheme="majorHAnsi"/>
          <w:color w:val="646464"/>
          <w:sz w:val="16"/>
          <w:szCs w:val="16"/>
        </w:rPr>
        <w:t>modity futures exchange and the preeminent trading forum for energy and precious metals, with trading conducted through two divisions – the NYMEX Division, home to the energy, platinum, and palladium markets, and the COMEX Division, on which all other meta</w:t>
      </w:r>
      <w:r w:rsidRPr="00DD38C0">
        <w:rPr>
          <w:rFonts w:asciiTheme="majorHAnsi" w:hAnsiTheme="majorHAnsi"/>
          <w:color w:val="646464"/>
          <w:sz w:val="16"/>
          <w:szCs w:val="16"/>
        </w:rPr>
        <w:t>ls trade</w:t>
      </w:r>
      <w:r w:rsidRPr="00A214EF">
        <w:t xml:space="preserve"> </w:t>
      </w:r>
      <w:r w:rsidRPr="00A214EF">
        <w:rPr>
          <w:rFonts w:asciiTheme="majorHAnsi" w:hAnsiTheme="majorHAnsi"/>
          <w:color w:val="646464"/>
          <w:sz w:val="16"/>
          <w:szCs w:val="16"/>
        </w:rPr>
        <w:t>The Hang Seng Index is a benchmark index for the blue-chip stocks traded on the Hong Kong stock exchange. The KOSPI is an index of all stocks traded on the Korean Stock Exchange.  The Nikkei 225 is a stock market index for the Tokyo Stock Exchange</w:t>
      </w:r>
      <w:r w:rsidRPr="00A214EF">
        <w:rPr>
          <w:rFonts w:asciiTheme="majorHAnsi" w:hAnsiTheme="majorHAnsi"/>
          <w:color w:val="646464"/>
          <w:sz w:val="16"/>
          <w:szCs w:val="16"/>
        </w:rPr>
        <w:t>. The SENSEX is a stock market index of 30 companies listed on Bombay Stock Exchange. The Jakarta Composite Index is an index of all stocks that are traded on the Indonesia Stock Exchange. The Bovespa Index tracks 50 stocks traded on the Sao Paulo Stock, M</w:t>
      </w:r>
      <w:r w:rsidRPr="00A214EF">
        <w:rPr>
          <w:rFonts w:asciiTheme="majorHAnsi" w:hAnsiTheme="majorHAnsi"/>
          <w:color w:val="646464"/>
          <w:sz w:val="16"/>
          <w:szCs w:val="16"/>
        </w:rPr>
        <w:t>ercantile &amp; Futures Exchange. The IPC index measure of companies listed on the Mexican Stock Exchange. The MERVAL tracks the performance of large companies based in Argentina. The ASX 200 index is an index of stocks listed on the Australian Securities Exch</w:t>
      </w:r>
      <w:r w:rsidRPr="00A214EF">
        <w:rPr>
          <w:rFonts w:asciiTheme="majorHAnsi" w:hAnsiTheme="majorHAnsi"/>
          <w:color w:val="646464"/>
          <w:sz w:val="16"/>
          <w:szCs w:val="16"/>
        </w:rPr>
        <w:t>ange The DAX is a market index consisting of the 30 German companies trading on the Frankfurt Stock Exchange. The CAC 40 is a benchmark for the 40 most significant companies on the French stock market index. The Dow Jones Russia Index measures the performa</w:t>
      </w:r>
      <w:r w:rsidRPr="00A214EF">
        <w:rPr>
          <w:rFonts w:asciiTheme="majorHAnsi" w:hAnsiTheme="majorHAnsi"/>
          <w:color w:val="646464"/>
          <w:sz w:val="16"/>
          <w:szCs w:val="16"/>
        </w:rPr>
        <w:t>nce of leading Russian Global Depositary Receipts (GDRs) that trade on the London Stock Exchange. The FTSE 100 Index is an index of the 100 companies with the highest market capitalization listed on the London Stock Exchange</w:t>
      </w:r>
      <w:r w:rsidRPr="00EF31D3">
        <w:rPr>
          <w:rFonts w:asciiTheme="majorHAnsi" w:hAnsiTheme="majorHAnsi"/>
          <w:color w:val="646464"/>
          <w:sz w:val="16"/>
          <w:szCs w:val="16"/>
        </w:rPr>
        <w:t xml:space="preserve">. </w:t>
      </w:r>
      <w:r w:rsidRPr="002F292D">
        <w:rPr>
          <w:rFonts w:asciiTheme="majorHAnsi" w:hAnsiTheme="majorHAnsi"/>
          <w:color w:val="767171" w:themeColor="background2" w:themeShade="80"/>
          <w:sz w:val="16"/>
          <w:szCs w:val="16"/>
        </w:rPr>
        <w:t>The U</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S</w:t>
      </w:r>
      <w:r>
        <w:rPr>
          <w:rFonts w:asciiTheme="majorHAnsi" w:hAnsiTheme="majorHAnsi"/>
          <w:color w:val="767171" w:themeColor="background2" w:themeShade="80"/>
          <w:sz w:val="16"/>
          <w:szCs w:val="16"/>
        </w:rPr>
        <w:t>.</w:t>
      </w:r>
      <w:r w:rsidRPr="002F292D">
        <w:rPr>
          <w:rFonts w:asciiTheme="majorHAnsi" w:hAnsiTheme="majorHAnsi"/>
          <w:color w:val="767171" w:themeColor="background2" w:themeShade="80"/>
          <w:sz w:val="16"/>
          <w:szCs w:val="16"/>
        </w:rPr>
        <w:t xml:space="preserve"> Dollar Index measures the performance of the U.S. dollar against a basket of six currencies. </w:t>
      </w:r>
      <w:r w:rsidRPr="002F292D">
        <w:rPr>
          <w:rFonts w:asciiTheme="majorHAnsi" w:hAnsiTheme="majorHAnsi" w:cs="Arial"/>
          <w:color w:val="767171" w:themeColor="background2" w:themeShade="80"/>
          <w:sz w:val="16"/>
          <w:szCs w:val="16"/>
        </w:rPr>
        <w:t xml:space="preserve">Additional risks are associated with international </w:t>
      </w:r>
      <w:r w:rsidRPr="00AB1FB1">
        <w:rPr>
          <w:rFonts w:asciiTheme="majorHAnsi" w:hAnsiTheme="majorHAnsi" w:cs="Arial"/>
          <w:color w:val="767171" w:themeColor="background2" w:themeShade="80"/>
          <w:sz w:val="16"/>
          <w:szCs w:val="16"/>
        </w:rPr>
        <w:t xml:space="preserve">investing, such as currency fluctuations, </w:t>
      </w:r>
      <w:r w:rsidRPr="00AB1FB1">
        <w:rPr>
          <w:rFonts w:asciiTheme="majorHAnsi" w:hAnsiTheme="majorHAnsi" w:cs="Arial"/>
          <w:color w:val="767171" w:themeColor="background2" w:themeShade="80"/>
          <w:sz w:val="16"/>
          <w:szCs w:val="16"/>
        </w:rPr>
        <w:lastRenderedPageBreak/>
        <w:t>political and economic instability and differences in accounting stan</w:t>
      </w:r>
      <w:r w:rsidRPr="00AB1FB1">
        <w:rPr>
          <w:rFonts w:asciiTheme="majorHAnsi" w:hAnsiTheme="majorHAnsi" w:cs="Arial"/>
          <w:color w:val="767171" w:themeColor="background2" w:themeShade="80"/>
          <w:sz w:val="16"/>
          <w:szCs w:val="16"/>
        </w:rPr>
        <w:t xml:space="preserve">dards. This material represents an assessment of the market </w:t>
      </w:r>
      <w:r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w:t>
      </w:r>
      <w:r w:rsidRPr="00DD38C0">
        <w:rPr>
          <w:rFonts w:asciiTheme="majorHAnsi" w:hAnsiTheme="majorHAnsi" w:cs="Arial"/>
          <w:color w:val="646464"/>
          <w:sz w:val="16"/>
          <w:szCs w:val="16"/>
        </w:rPr>
        <w:t>ay be providing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13AAD3AC" w14:textId="77777777" w:rsidR="00237981" w:rsidRPr="00DD38C0" w:rsidRDefault="00972F4D"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14:paraId="1B8737E4"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1 - </w:t>
      </w:r>
      <w:r w:rsidRPr="002934FD">
        <w:rPr>
          <w:rFonts w:asciiTheme="majorHAnsi" w:hAnsiTheme="majorHAnsi" w:cstheme="majorHAnsi"/>
          <w:color w:val="808080" w:themeColor="background1" w:themeShade="80"/>
          <w:sz w:val="16"/>
          <w:szCs w:val="16"/>
        </w:rPr>
        <w:t xml:space="preserve">The Wall </w:t>
      </w:r>
      <w:r w:rsidRPr="002934FD">
        <w:rPr>
          <w:rFonts w:asciiTheme="majorHAnsi" w:hAnsiTheme="majorHAnsi" w:cstheme="majorHAnsi"/>
          <w:color w:val="808080" w:themeColor="background1" w:themeShade="80"/>
          <w:sz w:val="16"/>
          <w:szCs w:val="16"/>
        </w:rPr>
        <w:t>Street Journal, May 31, 2020</w:t>
      </w:r>
    </w:p>
    <w:p w14:paraId="2D77E777" w14:textId="77777777" w:rsidR="002934FD"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2 - </w:t>
      </w:r>
      <w:r w:rsidRPr="002934FD">
        <w:rPr>
          <w:rFonts w:asciiTheme="majorHAnsi" w:hAnsiTheme="majorHAnsi" w:cstheme="majorHAnsi"/>
          <w:color w:val="808080" w:themeColor="background1" w:themeShade="80"/>
          <w:sz w:val="16"/>
          <w:szCs w:val="16"/>
        </w:rPr>
        <w:t xml:space="preserve">FactSet Research, May 31, 2020 </w:t>
      </w:r>
    </w:p>
    <w:p w14:paraId="6BF79E90"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3 - </w:t>
      </w:r>
      <w:r w:rsidRPr="002934FD">
        <w:rPr>
          <w:rFonts w:asciiTheme="majorHAnsi" w:hAnsiTheme="majorHAnsi" w:cstheme="majorHAnsi"/>
          <w:color w:val="808080" w:themeColor="background1" w:themeShade="80"/>
          <w:sz w:val="16"/>
          <w:szCs w:val="16"/>
        </w:rPr>
        <w:t>Who.int, May 27, 2020</w:t>
      </w:r>
    </w:p>
    <w:p w14:paraId="158AEE74"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4 - </w:t>
      </w:r>
      <w:r w:rsidRPr="002934FD">
        <w:rPr>
          <w:rFonts w:asciiTheme="majorHAnsi" w:hAnsiTheme="majorHAnsi" w:cstheme="majorHAnsi"/>
          <w:color w:val="808080" w:themeColor="background1" w:themeShade="80"/>
          <w:sz w:val="16"/>
          <w:szCs w:val="16"/>
        </w:rPr>
        <w:t>CNBC.com, May 13, 2020</w:t>
      </w:r>
    </w:p>
    <w:p w14:paraId="0DEAA09A"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5 - </w:t>
      </w:r>
      <w:r w:rsidRPr="002934FD">
        <w:rPr>
          <w:rFonts w:asciiTheme="majorHAnsi" w:hAnsiTheme="majorHAnsi" w:cstheme="majorHAnsi"/>
          <w:color w:val="808080" w:themeColor="background1" w:themeShade="80"/>
          <w:sz w:val="16"/>
          <w:szCs w:val="16"/>
        </w:rPr>
        <w:t>NBCnews.com, May 8, 2020</w:t>
      </w:r>
    </w:p>
    <w:p w14:paraId="7D1FD9DB"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6 - </w:t>
      </w:r>
      <w:r w:rsidRPr="002934FD">
        <w:rPr>
          <w:rFonts w:asciiTheme="majorHAnsi" w:hAnsiTheme="majorHAnsi" w:cstheme="majorHAnsi"/>
          <w:color w:val="808080" w:themeColor="background1" w:themeShade="80"/>
          <w:sz w:val="16"/>
          <w:szCs w:val="16"/>
        </w:rPr>
        <w:t>MSCI.com, May 31, 2020</w:t>
      </w:r>
    </w:p>
    <w:p w14:paraId="49F5A350"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7 - </w:t>
      </w:r>
      <w:r w:rsidRPr="002934FD">
        <w:rPr>
          <w:rFonts w:asciiTheme="majorHAnsi" w:hAnsiTheme="majorHAnsi" w:cstheme="majorHAnsi"/>
          <w:color w:val="808080" w:themeColor="background1" w:themeShade="80"/>
          <w:sz w:val="16"/>
          <w:szCs w:val="16"/>
        </w:rPr>
        <w:t>MSCI.com, May 31, 2020</w:t>
      </w:r>
    </w:p>
    <w:p w14:paraId="6F871E88"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8 - </w:t>
      </w:r>
      <w:r w:rsidRPr="002934FD">
        <w:rPr>
          <w:rFonts w:asciiTheme="majorHAnsi" w:hAnsiTheme="majorHAnsi" w:cstheme="majorHAnsi"/>
          <w:color w:val="808080" w:themeColor="background1" w:themeShade="80"/>
          <w:sz w:val="16"/>
          <w:szCs w:val="16"/>
        </w:rPr>
        <w:t>MSCI.com, May 31, 2020</w:t>
      </w:r>
    </w:p>
    <w:p w14:paraId="2DAB4BE2"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9 - </w:t>
      </w:r>
      <w:r w:rsidRPr="002934FD">
        <w:rPr>
          <w:rFonts w:asciiTheme="majorHAnsi" w:hAnsiTheme="majorHAnsi" w:cstheme="majorHAnsi"/>
          <w:color w:val="808080" w:themeColor="background1" w:themeShade="80"/>
          <w:sz w:val="16"/>
          <w:szCs w:val="16"/>
        </w:rPr>
        <w:t xml:space="preserve">The Wall Street </w:t>
      </w:r>
      <w:r w:rsidRPr="002934FD">
        <w:rPr>
          <w:rFonts w:asciiTheme="majorHAnsi" w:hAnsiTheme="majorHAnsi" w:cstheme="majorHAnsi"/>
          <w:color w:val="808080" w:themeColor="background1" w:themeShade="80"/>
          <w:sz w:val="16"/>
          <w:szCs w:val="16"/>
        </w:rPr>
        <w:t>Journal, May 28, 2020</w:t>
      </w:r>
    </w:p>
    <w:p w14:paraId="1F8AD5F9"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10 - </w:t>
      </w:r>
      <w:r w:rsidRPr="002934FD">
        <w:rPr>
          <w:rFonts w:asciiTheme="majorHAnsi" w:hAnsiTheme="majorHAnsi" w:cstheme="majorHAnsi"/>
          <w:color w:val="808080" w:themeColor="background1" w:themeShade="80"/>
          <w:sz w:val="16"/>
          <w:szCs w:val="16"/>
        </w:rPr>
        <w:t>The Wall Street Journal, May 8, 2020</w:t>
      </w:r>
    </w:p>
    <w:p w14:paraId="2C3F8621"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11 - </w:t>
      </w:r>
      <w:r w:rsidRPr="002934FD">
        <w:rPr>
          <w:rFonts w:asciiTheme="majorHAnsi" w:hAnsiTheme="majorHAnsi" w:cstheme="majorHAnsi"/>
          <w:color w:val="808080" w:themeColor="background1" w:themeShade="80"/>
          <w:sz w:val="16"/>
          <w:szCs w:val="16"/>
        </w:rPr>
        <w:t>The Wall Street Journal, May 15, 2020</w:t>
      </w:r>
      <w:r w:rsidRPr="00B60BB5">
        <w:rPr>
          <w:rFonts w:asciiTheme="majorHAnsi" w:hAnsiTheme="majorHAnsi" w:cstheme="majorHAnsi"/>
          <w:color w:val="808080" w:themeColor="background1" w:themeShade="80"/>
          <w:sz w:val="16"/>
          <w:szCs w:val="16"/>
        </w:rPr>
        <w:t xml:space="preserve">  </w:t>
      </w:r>
    </w:p>
    <w:p w14:paraId="1C095D35"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12 - </w:t>
      </w:r>
      <w:r w:rsidRPr="002934FD">
        <w:rPr>
          <w:rFonts w:asciiTheme="majorHAnsi" w:hAnsiTheme="majorHAnsi" w:cstheme="majorHAnsi"/>
          <w:color w:val="808080" w:themeColor="background1" w:themeShade="80"/>
          <w:sz w:val="16"/>
          <w:szCs w:val="16"/>
        </w:rPr>
        <w:t>The Wall Street Journal, May 15, 2020</w:t>
      </w:r>
    </w:p>
    <w:p w14:paraId="2E497D17"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13 - </w:t>
      </w:r>
      <w:r w:rsidRPr="002934FD">
        <w:rPr>
          <w:rFonts w:asciiTheme="majorHAnsi" w:hAnsiTheme="majorHAnsi" w:cstheme="majorHAnsi"/>
          <w:color w:val="808080" w:themeColor="background1" w:themeShade="80"/>
          <w:sz w:val="16"/>
          <w:szCs w:val="16"/>
        </w:rPr>
        <w:t>CNBC.com, May 19, 2020</w:t>
      </w:r>
    </w:p>
    <w:p w14:paraId="5450B618"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14 - </w:t>
      </w:r>
      <w:r w:rsidRPr="002934FD">
        <w:rPr>
          <w:rFonts w:asciiTheme="majorHAnsi" w:hAnsiTheme="majorHAnsi" w:cstheme="majorHAnsi"/>
          <w:color w:val="808080" w:themeColor="background1" w:themeShade="80"/>
          <w:sz w:val="16"/>
          <w:szCs w:val="16"/>
        </w:rPr>
        <w:t>CNBC.com, May 21, 2020</w:t>
      </w:r>
    </w:p>
    <w:p w14:paraId="37668F49"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15 - </w:t>
      </w:r>
      <w:r w:rsidRPr="002934FD">
        <w:rPr>
          <w:rFonts w:asciiTheme="majorHAnsi" w:hAnsiTheme="majorHAnsi" w:cstheme="majorHAnsi"/>
          <w:color w:val="808080" w:themeColor="background1" w:themeShade="80"/>
          <w:sz w:val="16"/>
          <w:szCs w:val="16"/>
        </w:rPr>
        <w:t>CNBC.com, May 26, 2020</w:t>
      </w:r>
    </w:p>
    <w:p w14:paraId="7493B1D1"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16 - </w:t>
      </w:r>
      <w:r w:rsidRPr="002934FD">
        <w:rPr>
          <w:rFonts w:asciiTheme="majorHAnsi" w:hAnsiTheme="majorHAnsi" w:cstheme="majorHAnsi"/>
          <w:color w:val="808080" w:themeColor="background1" w:themeShade="80"/>
          <w:sz w:val="16"/>
          <w:szCs w:val="16"/>
        </w:rPr>
        <w:t xml:space="preserve">The Wall </w:t>
      </w:r>
      <w:r w:rsidRPr="002934FD">
        <w:rPr>
          <w:rFonts w:asciiTheme="majorHAnsi" w:hAnsiTheme="majorHAnsi" w:cstheme="majorHAnsi"/>
          <w:color w:val="808080" w:themeColor="background1" w:themeShade="80"/>
          <w:sz w:val="16"/>
          <w:szCs w:val="16"/>
        </w:rPr>
        <w:t>Street Journal, May 12, 2020</w:t>
      </w:r>
    </w:p>
    <w:p w14:paraId="61199802" w14:textId="77777777" w:rsidR="00B60BB5" w:rsidRPr="00B60BB5"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17 - </w:t>
      </w:r>
      <w:r w:rsidRPr="002934FD">
        <w:rPr>
          <w:rFonts w:asciiTheme="majorHAnsi" w:hAnsiTheme="majorHAnsi" w:cstheme="majorHAnsi"/>
          <w:color w:val="808080" w:themeColor="background1" w:themeShade="80"/>
          <w:sz w:val="16"/>
          <w:szCs w:val="16"/>
        </w:rPr>
        <w:t>CNBC.com, May 28, 2020</w:t>
      </w:r>
    </w:p>
    <w:p w14:paraId="2DE972F3" w14:textId="77777777" w:rsidR="008E168C" w:rsidRPr="00410159" w:rsidRDefault="00972F4D" w:rsidP="00B60BB5">
      <w:pPr>
        <w:spacing w:after="0" w:line="240" w:lineRule="auto"/>
        <w:rPr>
          <w:rFonts w:asciiTheme="majorHAnsi" w:hAnsiTheme="majorHAnsi" w:cstheme="majorHAnsi"/>
          <w:color w:val="808080" w:themeColor="background1" w:themeShade="80"/>
          <w:sz w:val="16"/>
          <w:szCs w:val="16"/>
        </w:rPr>
      </w:pPr>
      <w:r w:rsidRPr="00B60BB5">
        <w:rPr>
          <w:rFonts w:asciiTheme="majorHAnsi" w:hAnsiTheme="majorHAnsi" w:cstheme="majorHAnsi"/>
          <w:color w:val="808080" w:themeColor="background1" w:themeShade="80"/>
          <w:sz w:val="16"/>
          <w:szCs w:val="16"/>
        </w:rPr>
        <w:t xml:space="preserve">18 - </w:t>
      </w:r>
      <w:r w:rsidRPr="002934FD">
        <w:rPr>
          <w:rFonts w:asciiTheme="majorHAnsi" w:hAnsiTheme="majorHAnsi" w:cstheme="majorHAnsi"/>
          <w:color w:val="808080" w:themeColor="background1" w:themeShade="80"/>
          <w:sz w:val="16"/>
          <w:szCs w:val="16"/>
        </w:rPr>
        <w:t>The Wall Street Journal, May 20, 2020</w:t>
      </w: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EF1"/>
    <w:multiLevelType w:val="hybridMultilevel"/>
    <w:tmpl w:val="52807AE8"/>
    <w:lvl w:ilvl="0" w:tplc="0DA6D898">
      <w:start w:val="1"/>
      <w:numFmt w:val="bullet"/>
      <w:lvlText w:val=""/>
      <w:lvlJc w:val="left"/>
      <w:pPr>
        <w:ind w:left="720" w:hanging="360"/>
      </w:pPr>
      <w:rPr>
        <w:rFonts w:ascii="Symbol" w:hAnsi="Symbol" w:hint="default"/>
      </w:rPr>
    </w:lvl>
    <w:lvl w:ilvl="1" w:tplc="FBC0A328" w:tentative="1">
      <w:start w:val="1"/>
      <w:numFmt w:val="bullet"/>
      <w:lvlText w:val="o"/>
      <w:lvlJc w:val="left"/>
      <w:pPr>
        <w:ind w:left="1440" w:hanging="360"/>
      </w:pPr>
      <w:rPr>
        <w:rFonts w:ascii="Courier New" w:hAnsi="Courier New" w:cs="Courier New" w:hint="default"/>
      </w:rPr>
    </w:lvl>
    <w:lvl w:ilvl="2" w:tplc="BE7C4F88" w:tentative="1">
      <w:start w:val="1"/>
      <w:numFmt w:val="bullet"/>
      <w:lvlText w:val=""/>
      <w:lvlJc w:val="left"/>
      <w:pPr>
        <w:ind w:left="2160" w:hanging="360"/>
      </w:pPr>
      <w:rPr>
        <w:rFonts w:ascii="Wingdings" w:hAnsi="Wingdings" w:hint="default"/>
      </w:rPr>
    </w:lvl>
    <w:lvl w:ilvl="3" w:tplc="77BA8D9C" w:tentative="1">
      <w:start w:val="1"/>
      <w:numFmt w:val="bullet"/>
      <w:lvlText w:val=""/>
      <w:lvlJc w:val="left"/>
      <w:pPr>
        <w:ind w:left="2880" w:hanging="360"/>
      </w:pPr>
      <w:rPr>
        <w:rFonts w:ascii="Symbol" w:hAnsi="Symbol" w:hint="default"/>
      </w:rPr>
    </w:lvl>
    <w:lvl w:ilvl="4" w:tplc="17348B5C" w:tentative="1">
      <w:start w:val="1"/>
      <w:numFmt w:val="bullet"/>
      <w:lvlText w:val="o"/>
      <w:lvlJc w:val="left"/>
      <w:pPr>
        <w:ind w:left="3600" w:hanging="360"/>
      </w:pPr>
      <w:rPr>
        <w:rFonts w:ascii="Courier New" w:hAnsi="Courier New" w:cs="Courier New" w:hint="default"/>
      </w:rPr>
    </w:lvl>
    <w:lvl w:ilvl="5" w:tplc="E01A082C" w:tentative="1">
      <w:start w:val="1"/>
      <w:numFmt w:val="bullet"/>
      <w:lvlText w:val=""/>
      <w:lvlJc w:val="left"/>
      <w:pPr>
        <w:ind w:left="4320" w:hanging="360"/>
      </w:pPr>
      <w:rPr>
        <w:rFonts w:ascii="Wingdings" w:hAnsi="Wingdings" w:hint="default"/>
      </w:rPr>
    </w:lvl>
    <w:lvl w:ilvl="6" w:tplc="042C80A6" w:tentative="1">
      <w:start w:val="1"/>
      <w:numFmt w:val="bullet"/>
      <w:lvlText w:val=""/>
      <w:lvlJc w:val="left"/>
      <w:pPr>
        <w:ind w:left="5040" w:hanging="360"/>
      </w:pPr>
      <w:rPr>
        <w:rFonts w:ascii="Symbol" w:hAnsi="Symbol" w:hint="default"/>
      </w:rPr>
    </w:lvl>
    <w:lvl w:ilvl="7" w:tplc="DA16FC92" w:tentative="1">
      <w:start w:val="1"/>
      <w:numFmt w:val="bullet"/>
      <w:lvlText w:val="o"/>
      <w:lvlJc w:val="left"/>
      <w:pPr>
        <w:ind w:left="5760" w:hanging="360"/>
      </w:pPr>
      <w:rPr>
        <w:rFonts w:ascii="Courier New" w:hAnsi="Courier New" w:cs="Courier New" w:hint="default"/>
      </w:rPr>
    </w:lvl>
    <w:lvl w:ilvl="8" w:tplc="181EB3D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5A"/>
    <w:rsid w:val="0010465A"/>
    <w:rsid w:val="0097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6F2F"/>
  <w15:docId w15:val="{9BB6DC17-6ABE-4AC6-BB22-A99C5A7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Jason Kleemeier</cp:lastModifiedBy>
  <cp:revision>2</cp:revision>
  <dcterms:created xsi:type="dcterms:W3CDTF">2020-06-30T19:10:00Z</dcterms:created>
  <dcterms:modified xsi:type="dcterms:W3CDTF">2020-06-30T19:10:00Z</dcterms:modified>
</cp:coreProperties>
</file>